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F05" w:rsidRDefault="00BC76A3">
      <w:pPr>
        <w:jc w:val="center"/>
        <w:rPr>
          <w:b/>
          <w:sz w:val="24"/>
          <w:szCs w:val="24"/>
        </w:rPr>
      </w:pPr>
      <w:r>
        <w:rPr>
          <w:b/>
          <w:sz w:val="24"/>
          <w:szCs w:val="24"/>
        </w:rPr>
        <w:t xml:space="preserve">NOTE TECNICHE DGR </w:t>
      </w:r>
      <w:r w:rsidR="00B7243D">
        <w:rPr>
          <w:b/>
          <w:sz w:val="24"/>
          <w:szCs w:val="24"/>
        </w:rPr>
        <w:t>467</w:t>
      </w:r>
      <w:r>
        <w:rPr>
          <w:b/>
          <w:sz w:val="24"/>
          <w:szCs w:val="24"/>
        </w:rPr>
        <w:t>/202</w:t>
      </w:r>
      <w:r w:rsidR="00B7243D">
        <w:rPr>
          <w:b/>
          <w:sz w:val="24"/>
          <w:szCs w:val="24"/>
        </w:rPr>
        <w:t>4</w:t>
      </w:r>
    </w:p>
    <w:p w:rsidR="00DF6F05" w:rsidRDefault="00DF6F05">
      <w:pPr>
        <w:jc w:val="center"/>
        <w:rPr>
          <w:b/>
          <w:sz w:val="24"/>
          <w:szCs w:val="24"/>
        </w:rPr>
      </w:pPr>
    </w:p>
    <w:tbl>
      <w:tblPr>
        <w:tblStyle w:val="a1"/>
        <w:tblW w:w="9854"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2"/>
        <w:gridCol w:w="2352"/>
        <w:gridCol w:w="974"/>
        <w:gridCol w:w="3756"/>
      </w:tblGrid>
      <w:tr w:rsidR="00DF6F05">
        <w:trPr>
          <w:trHeight w:val="991"/>
        </w:trPr>
        <w:tc>
          <w:tcPr>
            <w:tcW w:w="2772" w:type="dxa"/>
            <w:shd w:val="clear" w:color="auto" w:fill="F1F1F1"/>
          </w:tcPr>
          <w:p w:rsidR="00DF6F05" w:rsidRDefault="00BC76A3">
            <w:pPr>
              <w:widowControl w:val="0"/>
              <w:pBdr>
                <w:top w:val="nil"/>
                <w:left w:val="nil"/>
                <w:bottom w:val="nil"/>
                <w:right w:val="nil"/>
                <w:between w:val="nil"/>
              </w:pBdr>
              <w:spacing w:before="115"/>
              <w:ind w:left="110"/>
              <w:rPr>
                <w:b/>
                <w:color w:val="000000"/>
                <w:sz w:val="20"/>
                <w:szCs w:val="20"/>
              </w:rPr>
            </w:pPr>
            <w:r>
              <w:rPr>
                <w:b/>
                <w:color w:val="000000"/>
                <w:sz w:val="20"/>
                <w:szCs w:val="20"/>
              </w:rPr>
              <w:t>Tipologia di attività</w:t>
            </w:r>
          </w:p>
        </w:tc>
        <w:tc>
          <w:tcPr>
            <w:tcW w:w="2352" w:type="dxa"/>
            <w:shd w:val="clear" w:color="auto" w:fill="F1F1F1"/>
          </w:tcPr>
          <w:p w:rsidR="00DF6F05" w:rsidRDefault="00BC76A3">
            <w:pPr>
              <w:widowControl w:val="0"/>
              <w:pBdr>
                <w:top w:val="nil"/>
                <w:left w:val="nil"/>
                <w:bottom w:val="nil"/>
                <w:right w:val="nil"/>
                <w:between w:val="nil"/>
              </w:pBdr>
              <w:spacing w:before="60"/>
              <w:ind w:left="288" w:right="278"/>
              <w:rPr>
                <w:b/>
                <w:color w:val="000000"/>
                <w:sz w:val="20"/>
                <w:szCs w:val="20"/>
              </w:rPr>
            </w:pPr>
            <w:r>
              <w:rPr>
                <w:b/>
                <w:color w:val="000000"/>
                <w:sz w:val="20"/>
                <w:szCs w:val="20"/>
              </w:rPr>
              <w:t>Valore unità di costo standard (UCS)</w:t>
            </w:r>
          </w:p>
        </w:tc>
        <w:tc>
          <w:tcPr>
            <w:tcW w:w="974" w:type="dxa"/>
            <w:shd w:val="clear" w:color="auto" w:fill="F1F1F1"/>
          </w:tcPr>
          <w:p w:rsidR="00DF6F05" w:rsidRDefault="00BC76A3">
            <w:pPr>
              <w:widowControl w:val="0"/>
              <w:pBdr>
                <w:top w:val="nil"/>
                <w:left w:val="nil"/>
                <w:bottom w:val="nil"/>
                <w:right w:val="nil"/>
                <w:between w:val="nil"/>
              </w:pBdr>
              <w:ind w:right="135"/>
              <w:rPr>
                <w:b/>
                <w:color w:val="000000"/>
                <w:sz w:val="20"/>
                <w:szCs w:val="20"/>
              </w:rPr>
            </w:pPr>
            <w:r>
              <w:rPr>
                <w:b/>
                <w:color w:val="000000"/>
                <w:sz w:val="20"/>
                <w:szCs w:val="20"/>
              </w:rPr>
              <w:t>Voce di spesa</w:t>
            </w:r>
          </w:p>
        </w:tc>
        <w:tc>
          <w:tcPr>
            <w:tcW w:w="3756" w:type="dxa"/>
            <w:shd w:val="clear" w:color="auto" w:fill="F1F1F1"/>
          </w:tcPr>
          <w:p w:rsidR="00DF6F05" w:rsidRDefault="00BC76A3">
            <w:pPr>
              <w:widowControl w:val="0"/>
              <w:pBdr>
                <w:top w:val="nil"/>
                <w:left w:val="nil"/>
                <w:bottom w:val="nil"/>
                <w:right w:val="nil"/>
                <w:between w:val="nil"/>
              </w:pBdr>
              <w:spacing w:before="115"/>
              <w:ind w:left="486"/>
              <w:rPr>
                <w:b/>
                <w:color w:val="000000"/>
                <w:sz w:val="20"/>
                <w:szCs w:val="20"/>
              </w:rPr>
            </w:pPr>
            <w:r>
              <w:rPr>
                <w:b/>
                <w:color w:val="000000"/>
                <w:sz w:val="20"/>
                <w:szCs w:val="20"/>
              </w:rPr>
              <w:t>Condizioni per il riconoscimento</w:t>
            </w:r>
          </w:p>
        </w:tc>
      </w:tr>
      <w:tr w:rsidR="00DF6F05">
        <w:trPr>
          <w:trHeight w:val="892"/>
        </w:trPr>
        <w:tc>
          <w:tcPr>
            <w:tcW w:w="2772" w:type="dxa"/>
            <w:vMerge w:val="restart"/>
            <w:vAlign w:val="center"/>
          </w:tcPr>
          <w:p w:rsidR="00DF6F05" w:rsidRDefault="00BC76A3">
            <w:pPr>
              <w:widowControl w:val="0"/>
              <w:pBdr>
                <w:top w:val="nil"/>
                <w:left w:val="nil"/>
                <w:bottom w:val="nil"/>
                <w:right w:val="nil"/>
                <w:between w:val="nil"/>
              </w:pBdr>
              <w:ind w:left="116"/>
              <w:rPr>
                <w:color w:val="000000"/>
                <w:sz w:val="20"/>
                <w:szCs w:val="20"/>
              </w:rPr>
            </w:pPr>
            <w:r>
              <w:rPr>
                <w:color w:val="000000"/>
                <w:sz w:val="20"/>
                <w:szCs w:val="20"/>
              </w:rPr>
              <w:t>Formazione in aula di gruppo</w:t>
            </w:r>
          </w:p>
        </w:tc>
        <w:tc>
          <w:tcPr>
            <w:tcW w:w="2352" w:type="dxa"/>
            <w:vAlign w:val="center"/>
          </w:tcPr>
          <w:p w:rsidR="00DF6F05" w:rsidRDefault="00BC76A3">
            <w:pPr>
              <w:widowControl w:val="0"/>
              <w:pBdr>
                <w:top w:val="nil"/>
                <w:left w:val="nil"/>
                <w:bottom w:val="nil"/>
                <w:right w:val="nil"/>
                <w:between w:val="nil"/>
              </w:pBdr>
              <w:ind w:left="117" w:right="104"/>
              <w:jc w:val="center"/>
              <w:rPr>
                <w:color w:val="000000"/>
                <w:sz w:val="20"/>
                <w:szCs w:val="20"/>
              </w:rPr>
            </w:pPr>
            <w:r>
              <w:rPr>
                <w:color w:val="000000"/>
                <w:sz w:val="20"/>
                <w:szCs w:val="20"/>
              </w:rPr>
              <w:t xml:space="preserve">€ 90,000 ora/attività </w:t>
            </w:r>
          </w:p>
          <w:p w:rsidR="00DF6F05" w:rsidRDefault="00BC76A3">
            <w:pPr>
              <w:widowControl w:val="0"/>
              <w:pBdr>
                <w:top w:val="nil"/>
                <w:left w:val="nil"/>
                <w:bottom w:val="nil"/>
                <w:right w:val="nil"/>
                <w:between w:val="nil"/>
              </w:pBdr>
              <w:ind w:left="117" w:right="104"/>
              <w:rPr>
                <w:color w:val="000000"/>
                <w:sz w:val="20"/>
                <w:szCs w:val="20"/>
              </w:rPr>
            </w:pPr>
            <w:r>
              <w:rPr>
                <w:color w:val="000000"/>
                <w:sz w:val="20"/>
                <w:szCs w:val="20"/>
              </w:rPr>
              <w:t xml:space="preserve">              di gruppo</w:t>
            </w:r>
          </w:p>
          <w:p w:rsidR="00DF6F05" w:rsidRDefault="00DF6F05">
            <w:pPr>
              <w:widowControl w:val="0"/>
              <w:pBdr>
                <w:top w:val="nil"/>
                <w:left w:val="nil"/>
                <w:bottom w:val="nil"/>
                <w:right w:val="nil"/>
                <w:between w:val="nil"/>
              </w:pBdr>
              <w:ind w:left="117" w:right="104"/>
              <w:jc w:val="center"/>
              <w:rPr>
                <w:color w:val="000000"/>
                <w:sz w:val="20"/>
                <w:szCs w:val="20"/>
              </w:rPr>
            </w:pPr>
          </w:p>
        </w:tc>
        <w:tc>
          <w:tcPr>
            <w:tcW w:w="974" w:type="dxa"/>
            <w:vAlign w:val="center"/>
          </w:tcPr>
          <w:p w:rsidR="00DF6F05" w:rsidRDefault="00BC76A3">
            <w:pPr>
              <w:widowControl w:val="0"/>
              <w:pBdr>
                <w:top w:val="nil"/>
                <w:left w:val="nil"/>
                <w:bottom w:val="nil"/>
                <w:right w:val="nil"/>
                <w:between w:val="nil"/>
              </w:pBdr>
              <w:ind w:left="202" w:right="188"/>
              <w:jc w:val="center"/>
              <w:rPr>
                <w:color w:val="000000"/>
                <w:sz w:val="20"/>
                <w:szCs w:val="20"/>
              </w:rPr>
            </w:pPr>
            <w:r>
              <w:rPr>
                <w:color w:val="000000"/>
                <w:sz w:val="20"/>
                <w:szCs w:val="20"/>
              </w:rPr>
              <w:t>E1.1</w:t>
            </w:r>
          </w:p>
        </w:tc>
        <w:tc>
          <w:tcPr>
            <w:tcW w:w="3756" w:type="dxa"/>
            <w:vMerge w:val="restart"/>
            <w:vAlign w:val="center"/>
          </w:tcPr>
          <w:p w:rsidR="00DF6F05" w:rsidRDefault="00BC76A3">
            <w:pPr>
              <w:widowControl w:val="0"/>
              <w:pBdr>
                <w:top w:val="nil"/>
                <w:left w:val="nil"/>
                <w:bottom w:val="nil"/>
                <w:right w:val="nil"/>
                <w:between w:val="nil"/>
              </w:pBdr>
              <w:ind w:right="83"/>
              <w:jc w:val="center"/>
              <w:rPr>
                <w:color w:val="000000"/>
                <w:sz w:val="20"/>
                <w:szCs w:val="20"/>
              </w:rPr>
            </w:pPr>
            <w:r>
              <w:rPr>
                <w:color w:val="000000"/>
                <w:sz w:val="20"/>
                <w:szCs w:val="20"/>
              </w:rPr>
              <w:t>Rispetto numero minimo di utenti formati (15)</w:t>
            </w:r>
          </w:p>
          <w:p w:rsidR="00DF6F05" w:rsidRDefault="00BC76A3">
            <w:pPr>
              <w:widowControl w:val="0"/>
              <w:pBdr>
                <w:top w:val="nil"/>
                <w:left w:val="nil"/>
                <w:bottom w:val="nil"/>
                <w:right w:val="nil"/>
                <w:between w:val="nil"/>
              </w:pBdr>
              <w:ind w:left="109"/>
              <w:jc w:val="center"/>
              <w:rPr>
                <w:color w:val="000000"/>
                <w:sz w:val="20"/>
                <w:szCs w:val="20"/>
              </w:rPr>
            </w:pPr>
            <w:r>
              <w:rPr>
                <w:color w:val="000000"/>
                <w:sz w:val="20"/>
                <w:szCs w:val="20"/>
              </w:rPr>
              <w:t>Raggiungi</w:t>
            </w:r>
            <w:bookmarkStart w:id="0" w:name="_GoBack"/>
            <w:bookmarkEnd w:id="0"/>
            <w:r>
              <w:rPr>
                <w:color w:val="000000"/>
                <w:sz w:val="20"/>
                <w:szCs w:val="20"/>
              </w:rPr>
              <w:t xml:space="preserve">mento di almeno il 75% di presenza del monte ore totale composto </w:t>
            </w:r>
            <w:proofErr w:type="gramStart"/>
            <w:r>
              <w:rPr>
                <w:color w:val="000000"/>
                <w:sz w:val="20"/>
                <w:szCs w:val="20"/>
              </w:rPr>
              <w:t>dalle fase</w:t>
            </w:r>
            <w:proofErr w:type="gramEnd"/>
            <w:r>
              <w:rPr>
                <w:color w:val="000000"/>
                <w:sz w:val="20"/>
                <w:szCs w:val="20"/>
              </w:rPr>
              <w:t xml:space="preserve"> di formazione d’aula di gruppo</w:t>
            </w:r>
          </w:p>
        </w:tc>
      </w:tr>
      <w:tr w:rsidR="00DF6F05">
        <w:trPr>
          <w:trHeight w:val="1259"/>
        </w:trPr>
        <w:tc>
          <w:tcPr>
            <w:tcW w:w="2772" w:type="dxa"/>
            <w:vMerge/>
            <w:vAlign w:val="center"/>
          </w:tcPr>
          <w:p w:rsidR="00DF6F05" w:rsidRDefault="00DF6F05">
            <w:pPr>
              <w:widowControl w:val="0"/>
              <w:pBdr>
                <w:top w:val="nil"/>
                <w:left w:val="nil"/>
                <w:bottom w:val="nil"/>
                <w:right w:val="nil"/>
                <w:between w:val="nil"/>
              </w:pBdr>
              <w:spacing w:line="276" w:lineRule="auto"/>
              <w:rPr>
                <w:color w:val="000000"/>
                <w:sz w:val="20"/>
                <w:szCs w:val="20"/>
              </w:rPr>
            </w:pPr>
          </w:p>
        </w:tc>
        <w:tc>
          <w:tcPr>
            <w:tcW w:w="2352" w:type="dxa"/>
            <w:vAlign w:val="center"/>
          </w:tcPr>
          <w:p w:rsidR="00DF6F05" w:rsidRDefault="00BC76A3">
            <w:pPr>
              <w:widowControl w:val="0"/>
              <w:pBdr>
                <w:top w:val="nil"/>
                <w:left w:val="nil"/>
                <w:bottom w:val="nil"/>
                <w:right w:val="nil"/>
                <w:between w:val="nil"/>
              </w:pBdr>
              <w:ind w:left="117" w:right="109"/>
              <w:jc w:val="center"/>
              <w:rPr>
                <w:color w:val="000000"/>
                <w:sz w:val="20"/>
                <w:szCs w:val="20"/>
              </w:rPr>
            </w:pPr>
            <w:r>
              <w:rPr>
                <w:color w:val="000000"/>
                <w:sz w:val="20"/>
                <w:szCs w:val="20"/>
              </w:rPr>
              <w:t>+ costo allievo formato</w:t>
            </w:r>
          </w:p>
        </w:tc>
        <w:tc>
          <w:tcPr>
            <w:tcW w:w="974" w:type="dxa"/>
            <w:vAlign w:val="center"/>
          </w:tcPr>
          <w:p w:rsidR="00DF6F05" w:rsidRDefault="00BC76A3">
            <w:pPr>
              <w:widowControl w:val="0"/>
              <w:pBdr>
                <w:top w:val="nil"/>
                <w:left w:val="nil"/>
                <w:bottom w:val="nil"/>
                <w:right w:val="nil"/>
                <w:between w:val="nil"/>
              </w:pBdr>
              <w:ind w:left="202" w:right="188"/>
              <w:jc w:val="center"/>
              <w:rPr>
                <w:color w:val="000000"/>
                <w:sz w:val="20"/>
                <w:szCs w:val="20"/>
              </w:rPr>
            </w:pPr>
            <w:r>
              <w:rPr>
                <w:color w:val="000000"/>
                <w:sz w:val="20"/>
                <w:szCs w:val="20"/>
              </w:rPr>
              <w:t>E1.6</w:t>
            </w:r>
          </w:p>
        </w:tc>
        <w:tc>
          <w:tcPr>
            <w:tcW w:w="3756" w:type="dxa"/>
            <w:vMerge/>
            <w:vAlign w:val="center"/>
          </w:tcPr>
          <w:p w:rsidR="00DF6F05" w:rsidRDefault="00DF6F05">
            <w:pPr>
              <w:widowControl w:val="0"/>
              <w:pBdr>
                <w:top w:val="nil"/>
                <w:left w:val="nil"/>
                <w:bottom w:val="nil"/>
                <w:right w:val="nil"/>
                <w:between w:val="nil"/>
              </w:pBdr>
              <w:spacing w:line="276" w:lineRule="auto"/>
              <w:rPr>
                <w:color w:val="000000"/>
                <w:sz w:val="20"/>
                <w:szCs w:val="20"/>
              </w:rPr>
            </w:pPr>
          </w:p>
        </w:tc>
      </w:tr>
      <w:tr w:rsidR="00DF6F05">
        <w:trPr>
          <w:trHeight w:val="745"/>
        </w:trPr>
        <w:tc>
          <w:tcPr>
            <w:tcW w:w="2772" w:type="dxa"/>
            <w:vAlign w:val="center"/>
          </w:tcPr>
          <w:p w:rsidR="00DF6F05" w:rsidRDefault="00DF6F05">
            <w:pPr>
              <w:widowControl w:val="0"/>
              <w:pBdr>
                <w:top w:val="nil"/>
                <w:left w:val="nil"/>
                <w:bottom w:val="nil"/>
                <w:right w:val="nil"/>
                <w:between w:val="nil"/>
              </w:pBdr>
              <w:ind w:left="110"/>
              <w:rPr>
                <w:color w:val="000000"/>
                <w:sz w:val="20"/>
                <w:szCs w:val="20"/>
              </w:rPr>
            </w:pPr>
          </w:p>
          <w:p w:rsidR="00DF6F05" w:rsidRDefault="00BC76A3">
            <w:pPr>
              <w:widowControl w:val="0"/>
              <w:pBdr>
                <w:top w:val="nil"/>
                <w:left w:val="nil"/>
                <w:bottom w:val="nil"/>
                <w:right w:val="nil"/>
                <w:between w:val="nil"/>
              </w:pBdr>
              <w:ind w:left="110"/>
              <w:rPr>
                <w:color w:val="000000"/>
                <w:sz w:val="20"/>
                <w:szCs w:val="20"/>
              </w:rPr>
            </w:pPr>
            <w:r>
              <w:rPr>
                <w:color w:val="000000"/>
                <w:sz w:val="20"/>
                <w:szCs w:val="20"/>
              </w:rPr>
              <w:t>Formazione a supporto (docenza di supporto)</w:t>
            </w:r>
          </w:p>
          <w:p w:rsidR="00DF6F05" w:rsidRDefault="00DF6F05">
            <w:pPr>
              <w:widowControl w:val="0"/>
              <w:pBdr>
                <w:top w:val="nil"/>
                <w:left w:val="nil"/>
                <w:bottom w:val="nil"/>
                <w:right w:val="nil"/>
                <w:between w:val="nil"/>
              </w:pBdr>
              <w:ind w:left="110"/>
              <w:rPr>
                <w:color w:val="000000"/>
                <w:sz w:val="20"/>
                <w:szCs w:val="20"/>
              </w:rPr>
            </w:pPr>
          </w:p>
        </w:tc>
        <w:tc>
          <w:tcPr>
            <w:tcW w:w="2352" w:type="dxa"/>
            <w:vAlign w:val="center"/>
          </w:tcPr>
          <w:p w:rsidR="00DF6F05" w:rsidRDefault="00BC76A3">
            <w:pPr>
              <w:widowControl w:val="0"/>
              <w:pBdr>
                <w:top w:val="nil"/>
                <w:left w:val="nil"/>
                <w:bottom w:val="nil"/>
                <w:right w:val="nil"/>
                <w:between w:val="nil"/>
              </w:pBdr>
              <w:ind w:left="117" w:right="106"/>
              <w:jc w:val="center"/>
              <w:rPr>
                <w:color w:val="000000"/>
                <w:sz w:val="20"/>
                <w:szCs w:val="20"/>
              </w:rPr>
            </w:pPr>
            <w:r>
              <w:rPr>
                <w:color w:val="000000"/>
                <w:sz w:val="20"/>
                <w:szCs w:val="20"/>
              </w:rPr>
              <w:t>€ 76,80 ora/attività</w:t>
            </w:r>
          </w:p>
        </w:tc>
        <w:tc>
          <w:tcPr>
            <w:tcW w:w="974" w:type="dxa"/>
            <w:vAlign w:val="center"/>
          </w:tcPr>
          <w:p w:rsidR="00DF6F05" w:rsidRDefault="00BC76A3">
            <w:pPr>
              <w:widowControl w:val="0"/>
              <w:pBdr>
                <w:top w:val="nil"/>
                <w:left w:val="nil"/>
                <w:bottom w:val="nil"/>
                <w:right w:val="nil"/>
                <w:between w:val="nil"/>
              </w:pBdr>
              <w:ind w:left="202" w:right="188"/>
              <w:jc w:val="center"/>
              <w:rPr>
                <w:color w:val="000000"/>
                <w:sz w:val="20"/>
                <w:szCs w:val="20"/>
              </w:rPr>
            </w:pPr>
            <w:r>
              <w:rPr>
                <w:color w:val="000000"/>
                <w:sz w:val="20"/>
                <w:szCs w:val="20"/>
              </w:rPr>
              <w:t>E1.1</w:t>
            </w:r>
          </w:p>
        </w:tc>
        <w:tc>
          <w:tcPr>
            <w:tcW w:w="3756" w:type="dxa"/>
            <w:vAlign w:val="center"/>
          </w:tcPr>
          <w:p w:rsidR="00DF6F05" w:rsidRDefault="00BC76A3">
            <w:pPr>
              <w:widowControl w:val="0"/>
              <w:pBdr>
                <w:top w:val="nil"/>
                <w:left w:val="nil"/>
                <w:bottom w:val="nil"/>
                <w:right w:val="nil"/>
                <w:between w:val="nil"/>
              </w:pBdr>
              <w:jc w:val="center"/>
              <w:rPr>
                <w:color w:val="000000"/>
                <w:sz w:val="20"/>
                <w:szCs w:val="20"/>
              </w:rPr>
            </w:pPr>
            <w:r>
              <w:rPr>
                <w:color w:val="000000"/>
                <w:sz w:val="20"/>
                <w:szCs w:val="20"/>
              </w:rPr>
              <w:t xml:space="preserve">L’UCS è da intendersi per ora di servizio erogata (ora/attività) e </w:t>
            </w:r>
            <w:r>
              <w:rPr>
                <w:b/>
                <w:color w:val="000000"/>
                <w:sz w:val="20"/>
                <w:szCs w:val="20"/>
              </w:rPr>
              <w:t>non per singolo docente coinvolto</w:t>
            </w:r>
          </w:p>
        </w:tc>
      </w:tr>
      <w:tr w:rsidR="00DF6F05">
        <w:trPr>
          <w:trHeight w:val="758"/>
        </w:trPr>
        <w:tc>
          <w:tcPr>
            <w:tcW w:w="2772" w:type="dxa"/>
            <w:vAlign w:val="center"/>
          </w:tcPr>
          <w:p w:rsidR="00DF6F05" w:rsidRDefault="00BC76A3">
            <w:pPr>
              <w:widowControl w:val="0"/>
              <w:pBdr>
                <w:top w:val="nil"/>
                <w:left w:val="nil"/>
                <w:bottom w:val="nil"/>
                <w:right w:val="nil"/>
                <w:between w:val="nil"/>
              </w:pBdr>
              <w:ind w:left="146" w:right="554"/>
              <w:rPr>
                <w:color w:val="000000"/>
                <w:sz w:val="20"/>
                <w:szCs w:val="20"/>
              </w:rPr>
            </w:pPr>
            <w:r>
              <w:rPr>
                <w:color w:val="000000"/>
                <w:sz w:val="20"/>
                <w:szCs w:val="20"/>
              </w:rPr>
              <w:t>Coaching di gruppo</w:t>
            </w:r>
          </w:p>
        </w:tc>
        <w:tc>
          <w:tcPr>
            <w:tcW w:w="2352" w:type="dxa"/>
            <w:vAlign w:val="center"/>
          </w:tcPr>
          <w:p w:rsidR="00DF6F05" w:rsidRDefault="00BC76A3">
            <w:pPr>
              <w:widowControl w:val="0"/>
              <w:pBdr>
                <w:top w:val="nil"/>
                <w:left w:val="nil"/>
                <w:bottom w:val="nil"/>
                <w:right w:val="nil"/>
                <w:between w:val="nil"/>
              </w:pBdr>
              <w:ind w:right="223"/>
              <w:jc w:val="center"/>
              <w:rPr>
                <w:color w:val="000000"/>
                <w:sz w:val="20"/>
                <w:szCs w:val="20"/>
              </w:rPr>
            </w:pPr>
            <w:r>
              <w:rPr>
                <w:color w:val="000000"/>
                <w:sz w:val="20"/>
                <w:szCs w:val="20"/>
              </w:rPr>
              <w:t xml:space="preserve">   € 15,00 ora/destinatario</w:t>
            </w:r>
          </w:p>
        </w:tc>
        <w:tc>
          <w:tcPr>
            <w:tcW w:w="974" w:type="dxa"/>
            <w:vAlign w:val="center"/>
          </w:tcPr>
          <w:p w:rsidR="00DF6F05" w:rsidRDefault="00BC76A3">
            <w:pPr>
              <w:widowControl w:val="0"/>
              <w:pBdr>
                <w:top w:val="nil"/>
                <w:left w:val="nil"/>
                <w:bottom w:val="nil"/>
                <w:right w:val="nil"/>
                <w:between w:val="nil"/>
              </w:pBdr>
              <w:ind w:left="204" w:right="185"/>
              <w:jc w:val="center"/>
              <w:rPr>
                <w:color w:val="000000"/>
                <w:sz w:val="20"/>
                <w:szCs w:val="20"/>
              </w:rPr>
            </w:pPr>
            <w:r>
              <w:rPr>
                <w:color w:val="000000"/>
                <w:sz w:val="20"/>
                <w:szCs w:val="20"/>
              </w:rPr>
              <w:t>E1.5</w:t>
            </w:r>
          </w:p>
        </w:tc>
        <w:tc>
          <w:tcPr>
            <w:tcW w:w="3756" w:type="dxa"/>
            <w:vMerge w:val="restart"/>
            <w:vAlign w:val="center"/>
          </w:tcPr>
          <w:p w:rsidR="00DF6F05" w:rsidRDefault="00BC76A3">
            <w:pPr>
              <w:widowControl w:val="0"/>
              <w:pBdr>
                <w:top w:val="nil"/>
                <w:left w:val="nil"/>
                <w:bottom w:val="nil"/>
                <w:right w:val="nil"/>
                <w:between w:val="nil"/>
              </w:pBdr>
              <w:jc w:val="center"/>
              <w:rPr>
                <w:color w:val="000000"/>
                <w:sz w:val="20"/>
                <w:szCs w:val="20"/>
              </w:rPr>
            </w:pPr>
            <w:r>
              <w:rPr>
                <w:color w:val="000000"/>
                <w:sz w:val="20"/>
                <w:szCs w:val="20"/>
              </w:rPr>
              <w:t>Ore effettive di presenza di ogni studente (massimo 5 studenti)</w:t>
            </w:r>
          </w:p>
          <w:p w:rsidR="00DF6F05" w:rsidRDefault="00BC76A3">
            <w:pPr>
              <w:widowControl w:val="0"/>
              <w:pBdr>
                <w:top w:val="nil"/>
                <w:left w:val="nil"/>
                <w:bottom w:val="nil"/>
                <w:right w:val="nil"/>
                <w:between w:val="nil"/>
              </w:pBdr>
              <w:jc w:val="center"/>
              <w:rPr>
                <w:color w:val="000000"/>
                <w:sz w:val="20"/>
                <w:szCs w:val="20"/>
              </w:rPr>
            </w:pPr>
            <w:r>
              <w:rPr>
                <w:color w:val="000000"/>
                <w:sz w:val="20"/>
                <w:szCs w:val="20"/>
              </w:rPr>
              <w:t>fino ad un massimo di € 2.500,00</w:t>
            </w:r>
          </w:p>
          <w:p w:rsidR="00DF6F05" w:rsidRDefault="00DF6F05">
            <w:pPr>
              <w:widowControl w:val="0"/>
              <w:pBdr>
                <w:top w:val="nil"/>
                <w:left w:val="nil"/>
                <w:bottom w:val="nil"/>
                <w:right w:val="nil"/>
                <w:between w:val="nil"/>
              </w:pBdr>
              <w:jc w:val="center"/>
              <w:rPr>
                <w:color w:val="000000"/>
                <w:sz w:val="20"/>
                <w:szCs w:val="20"/>
              </w:rPr>
            </w:pPr>
          </w:p>
        </w:tc>
      </w:tr>
      <w:tr w:rsidR="00DF6F05">
        <w:trPr>
          <w:trHeight w:val="760"/>
        </w:trPr>
        <w:tc>
          <w:tcPr>
            <w:tcW w:w="2772" w:type="dxa"/>
            <w:vAlign w:val="center"/>
          </w:tcPr>
          <w:p w:rsidR="00DF6F05" w:rsidRDefault="00BC76A3">
            <w:pPr>
              <w:widowControl w:val="0"/>
              <w:pBdr>
                <w:top w:val="nil"/>
                <w:left w:val="nil"/>
                <w:bottom w:val="nil"/>
                <w:right w:val="nil"/>
                <w:between w:val="nil"/>
              </w:pBdr>
              <w:rPr>
                <w:color w:val="000000"/>
                <w:sz w:val="20"/>
                <w:szCs w:val="20"/>
              </w:rPr>
            </w:pPr>
            <w:r>
              <w:rPr>
                <w:color w:val="000000"/>
                <w:sz w:val="20"/>
                <w:szCs w:val="20"/>
              </w:rPr>
              <w:t xml:space="preserve">   Coaching individuale</w:t>
            </w:r>
          </w:p>
        </w:tc>
        <w:tc>
          <w:tcPr>
            <w:tcW w:w="2352" w:type="dxa"/>
            <w:vAlign w:val="center"/>
          </w:tcPr>
          <w:p w:rsidR="00DF6F05" w:rsidRDefault="00BC76A3">
            <w:pPr>
              <w:widowControl w:val="0"/>
              <w:pBdr>
                <w:top w:val="nil"/>
                <w:left w:val="nil"/>
                <w:bottom w:val="nil"/>
                <w:right w:val="nil"/>
                <w:between w:val="nil"/>
              </w:pBdr>
              <w:ind w:left="117" w:right="107"/>
              <w:jc w:val="center"/>
              <w:rPr>
                <w:color w:val="000000"/>
                <w:sz w:val="20"/>
                <w:szCs w:val="20"/>
              </w:rPr>
            </w:pPr>
            <w:r>
              <w:rPr>
                <w:color w:val="000000"/>
                <w:sz w:val="20"/>
                <w:szCs w:val="20"/>
              </w:rPr>
              <w:t>€ 25,00 ora/destinatario</w:t>
            </w:r>
          </w:p>
        </w:tc>
        <w:tc>
          <w:tcPr>
            <w:tcW w:w="974" w:type="dxa"/>
            <w:vAlign w:val="center"/>
          </w:tcPr>
          <w:p w:rsidR="00DF6F05" w:rsidRDefault="00BC76A3">
            <w:pPr>
              <w:widowControl w:val="0"/>
              <w:pBdr>
                <w:top w:val="nil"/>
                <w:left w:val="nil"/>
                <w:bottom w:val="nil"/>
                <w:right w:val="nil"/>
                <w:between w:val="nil"/>
              </w:pBdr>
              <w:ind w:left="204" w:right="185"/>
              <w:jc w:val="center"/>
              <w:rPr>
                <w:color w:val="000000"/>
                <w:sz w:val="20"/>
                <w:szCs w:val="20"/>
              </w:rPr>
            </w:pPr>
            <w:r>
              <w:rPr>
                <w:color w:val="000000"/>
                <w:sz w:val="20"/>
                <w:szCs w:val="20"/>
              </w:rPr>
              <w:t>E1.4</w:t>
            </w:r>
          </w:p>
        </w:tc>
        <w:tc>
          <w:tcPr>
            <w:tcW w:w="3756" w:type="dxa"/>
            <w:vMerge/>
            <w:vAlign w:val="center"/>
          </w:tcPr>
          <w:p w:rsidR="00DF6F05" w:rsidRDefault="00DF6F05">
            <w:pPr>
              <w:widowControl w:val="0"/>
              <w:pBdr>
                <w:top w:val="nil"/>
                <w:left w:val="nil"/>
                <w:bottom w:val="nil"/>
                <w:right w:val="nil"/>
                <w:between w:val="nil"/>
              </w:pBdr>
              <w:spacing w:line="276" w:lineRule="auto"/>
              <w:rPr>
                <w:color w:val="000000"/>
                <w:sz w:val="20"/>
                <w:szCs w:val="20"/>
              </w:rPr>
            </w:pPr>
          </w:p>
        </w:tc>
      </w:tr>
      <w:tr w:rsidR="00DF6F05">
        <w:trPr>
          <w:trHeight w:val="760"/>
        </w:trPr>
        <w:tc>
          <w:tcPr>
            <w:tcW w:w="2772" w:type="dxa"/>
            <w:vAlign w:val="center"/>
          </w:tcPr>
          <w:p w:rsidR="00BC76A3" w:rsidRPr="00BC76A3" w:rsidRDefault="00BC76A3" w:rsidP="00BC76A3">
            <w:pPr>
              <w:widowControl w:val="0"/>
              <w:pBdr>
                <w:top w:val="nil"/>
                <w:left w:val="nil"/>
                <w:bottom w:val="nil"/>
                <w:right w:val="nil"/>
                <w:between w:val="nil"/>
              </w:pBdr>
              <w:ind w:left="142"/>
              <w:rPr>
                <w:color w:val="000000"/>
                <w:sz w:val="20"/>
                <w:szCs w:val="20"/>
              </w:rPr>
            </w:pPr>
            <w:r w:rsidRPr="00BC76A3">
              <w:rPr>
                <w:color w:val="000000"/>
                <w:sz w:val="20"/>
                <w:szCs w:val="20"/>
              </w:rPr>
              <w:t>Organizzazione dei</w:t>
            </w:r>
          </w:p>
          <w:p w:rsidR="00BC76A3" w:rsidRPr="00BC76A3" w:rsidRDefault="00BC76A3" w:rsidP="00BC76A3">
            <w:pPr>
              <w:widowControl w:val="0"/>
              <w:pBdr>
                <w:top w:val="nil"/>
                <w:left w:val="nil"/>
                <w:bottom w:val="nil"/>
                <w:right w:val="nil"/>
                <w:between w:val="nil"/>
              </w:pBdr>
              <w:ind w:left="142"/>
              <w:rPr>
                <w:color w:val="000000"/>
                <w:sz w:val="20"/>
                <w:szCs w:val="20"/>
              </w:rPr>
            </w:pPr>
            <w:r w:rsidRPr="00BC76A3">
              <w:rPr>
                <w:color w:val="000000"/>
                <w:sz w:val="20"/>
                <w:szCs w:val="20"/>
              </w:rPr>
              <w:t>viaggi di istruzione di</w:t>
            </w:r>
          </w:p>
          <w:p w:rsidR="00BC76A3" w:rsidRPr="00BC76A3" w:rsidRDefault="00BC76A3" w:rsidP="00BC76A3">
            <w:pPr>
              <w:widowControl w:val="0"/>
              <w:pBdr>
                <w:top w:val="nil"/>
                <w:left w:val="nil"/>
                <w:bottom w:val="nil"/>
                <w:right w:val="nil"/>
                <w:between w:val="nil"/>
              </w:pBdr>
              <w:ind w:left="142"/>
              <w:rPr>
                <w:color w:val="000000"/>
                <w:sz w:val="20"/>
                <w:szCs w:val="20"/>
              </w:rPr>
            </w:pPr>
            <w:r w:rsidRPr="00BC76A3">
              <w:rPr>
                <w:color w:val="000000"/>
                <w:sz w:val="20"/>
                <w:szCs w:val="20"/>
              </w:rPr>
              <w:t>gruppo all’estero (costi</w:t>
            </w:r>
          </w:p>
          <w:p w:rsidR="00DF6F05" w:rsidRDefault="00BC76A3" w:rsidP="00BC76A3">
            <w:pPr>
              <w:widowControl w:val="0"/>
              <w:pBdr>
                <w:top w:val="nil"/>
                <w:left w:val="nil"/>
                <w:bottom w:val="nil"/>
                <w:right w:val="nil"/>
                <w:between w:val="nil"/>
              </w:pBdr>
              <w:ind w:left="142"/>
              <w:rPr>
                <w:color w:val="000000"/>
                <w:sz w:val="20"/>
                <w:szCs w:val="20"/>
              </w:rPr>
            </w:pPr>
            <w:r w:rsidRPr="00BC76A3">
              <w:rPr>
                <w:color w:val="000000"/>
                <w:sz w:val="20"/>
                <w:szCs w:val="20"/>
              </w:rPr>
              <w:t>di agenzia)</w:t>
            </w:r>
          </w:p>
        </w:tc>
        <w:tc>
          <w:tcPr>
            <w:tcW w:w="2352" w:type="dxa"/>
            <w:vAlign w:val="center"/>
          </w:tcPr>
          <w:p w:rsidR="00DF6F05" w:rsidRDefault="00BC76A3">
            <w:pPr>
              <w:widowControl w:val="0"/>
              <w:pBdr>
                <w:top w:val="nil"/>
                <w:left w:val="nil"/>
                <w:bottom w:val="nil"/>
                <w:right w:val="nil"/>
                <w:between w:val="nil"/>
              </w:pBdr>
              <w:ind w:right="105"/>
              <w:jc w:val="center"/>
              <w:rPr>
                <w:color w:val="000000"/>
                <w:sz w:val="20"/>
                <w:szCs w:val="20"/>
              </w:rPr>
            </w:pPr>
            <w:r>
              <w:rPr>
                <w:color w:val="000000"/>
                <w:sz w:val="20"/>
                <w:szCs w:val="20"/>
              </w:rPr>
              <w:t>€ 645,00</w:t>
            </w:r>
          </w:p>
        </w:tc>
        <w:tc>
          <w:tcPr>
            <w:tcW w:w="974" w:type="dxa"/>
            <w:vAlign w:val="center"/>
          </w:tcPr>
          <w:p w:rsidR="00DF6F05" w:rsidRDefault="00BC76A3">
            <w:pPr>
              <w:widowControl w:val="0"/>
              <w:pBdr>
                <w:top w:val="nil"/>
                <w:left w:val="nil"/>
                <w:bottom w:val="nil"/>
                <w:right w:val="nil"/>
                <w:between w:val="nil"/>
              </w:pBdr>
              <w:jc w:val="center"/>
              <w:rPr>
                <w:color w:val="000000"/>
                <w:sz w:val="20"/>
                <w:szCs w:val="20"/>
              </w:rPr>
            </w:pPr>
            <w:r>
              <w:rPr>
                <w:color w:val="000000"/>
                <w:sz w:val="20"/>
                <w:szCs w:val="20"/>
              </w:rPr>
              <w:t>E3.6</w:t>
            </w:r>
          </w:p>
        </w:tc>
        <w:tc>
          <w:tcPr>
            <w:tcW w:w="3756" w:type="dxa"/>
            <w:vAlign w:val="center"/>
          </w:tcPr>
          <w:p w:rsidR="00DF6F05" w:rsidRDefault="00BC76A3">
            <w:pPr>
              <w:widowControl w:val="0"/>
              <w:pBdr>
                <w:top w:val="nil"/>
                <w:left w:val="nil"/>
                <w:bottom w:val="nil"/>
                <w:right w:val="nil"/>
                <w:between w:val="nil"/>
              </w:pBdr>
              <w:jc w:val="center"/>
              <w:rPr>
                <w:color w:val="000000"/>
                <w:sz w:val="20"/>
                <w:szCs w:val="20"/>
              </w:rPr>
            </w:pPr>
            <w:r>
              <w:rPr>
                <w:color w:val="000000"/>
                <w:sz w:val="20"/>
                <w:szCs w:val="20"/>
              </w:rPr>
              <w:t>Effettiva fruizione del servizio</w:t>
            </w:r>
          </w:p>
        </w:tc>
      </w:tr>
      <w:tr w:rsidR="00DF6F05">
        <w:trPr>
          <w:trHeight w:val="760"/>
        </w:trPr>
        <w:tc>
          <w:tcPr>
            <w:tcW w:w="2772" w:type="dxa"/>
            <w:vAlign w:val="center"/>
          </w:tcPr>
          <w:p w:rsidR="00DF6F05" w:rsidRDefault="00BC76A3">
            <w:pPr>
              <w:widowControl w:val="0"/>
              <w:pBdr>
                <w:top w:val="nil"/>
                <w:left w:val="nil"/>
                <w:bottom w:val="nil"/>
                <w:right w:val="nil"/>
                <w:between w:val="nil"/>
              </w:pBdr>
              <w:rPr>
                <w:color w:val="000000"/>
                <w:sz w:val="20"/>
                <w:szCs w:val="20"/>
              </w:rPr>
            </w:pPr>
            <w:r>
              <w:rPr>
                <w:color w:val="000000"/>
                <w:sz w:val="20"/>
                <w:szCs w:val="20"/>
              </w:rPr>
              <w:t xml:space="preserve">   Mobilità dei destinatari</w:t>
            </w:r>
          </w:p>
        </w:tc>
        <w:tc>
          <w:tcPr>
            <w:tcW w:w="2352" w:type="dxa"/>
            <w:vAlign w:val="center"/>
          </w:tcPr>
          <w:p w:rsidR="00DF6F05" w:rsidRDefault="00BC76A3">
            <w:pPr>
              <w:widowControl w:val="0"/>
              <w:pBdr>
                <w:top w:val="nil"/>
                <w:left w:val="nil"/>
                <w:bottom w:val="nil"/>
                <w:right w:val="nil"/>
                <w:between w:val="nil"/>
              </w:pBdr>
              <w:ind w:right="105"/>
              <w:jc w:val="center"/>
              <w:rPr>
                <w:color w:val="000000"/>
                <w:sz w:val="20"/>
                <w:szCs w:val="20"/>
              </w:rPr>
            </w:pPr>
            <w:r>
              <w:rPr>
                <w:color w:val="000000"/>
                <w:sz w:val="20"/>
                <w:szCs w:val="20"/>
              </w:rPr>
              <w:t>UCS come da tabella</w:t>
            </w:r>
          </w:p>
        </w:tc>
        <w:tc>
          <w:tcPr>
            <w:tcW w:w="974" w:type="dxa"/>
            <w:vAlign w:val="center"/>
          </w:tcPr>
          <w:p w:rsidR="00DF6F05" w:rsidRDefault="00BC76A3">
            <w:pPr>
              <w:widowControl w:val="0"/>
              <w:pBdr>
                <w:top w:val="nil"/>
                <w:left w:val="nil"/>
                <w:bottom w:val="nil"/>
                <w:right w:val="nil"/>
                <w:between w:val="nil"/>
              </w:pBdr>
              <w:jc w:val="center"/>
              <w:rPr>
                <w:color w:val="000000"/>
                <w:sz w:val="20"/>
                <w:szCs w:val="20"/>
              </w:rPr>
            </w:pPr>
            <w:r>
              <w:rPr>
                <w:color w:val="000000"/>
                <w:sz w:val="20"/>
                <w:szCs w:val="20"/>
              </w:rPr>
              <w:t>D1.1</w:t>
            </w:r>
          </w:p>
        </w:tc>
        <w:tc>
          <w:tcPr>
            <w:tcW w:w="3756" w:type="dxa"/>
            <w:vAlign w:val="center"/>
          </w:tcPr>
          <w:p w:rsidR="00DF6F05" w:rsidRDefault="00BC76A3">
            <w:pPr>
              <w:widowControl w:val="0"/>
              <w:pBdr>
                <w:top w:val="nil"/>
                <w:left w:val="nil"/>
                <w:bottom w:val="nil"/>
                <w:right w:val="nil"/>
                <w:between w:val="nil"/>
              </w:pBdr>
              <w:jc w:val="center"/>
              <w:rPr>
                <w:color w:val="000000"/>
                <w:sz w:val="20"/>
                <w:szCs w:val="20"/>
              </w:rPr>
            </w:pPr>
            <w:r>
              <w:rPr>
                <w:color w:val="000000"/>
                <w:sz w:val="20"/>
                <w:szCs w:val="20"/>
              </w:rPr>
              <w:t>Effettiva fruizione del servizio</w:t>
            </w:r>
          </w:p>
        </w:tc>
      </w:tr>
      <w:tr w:rsidR="00DF6F05">
        <w:trPr>
          <w:trHeight w:val="760"/>
        </w:trPr>
        <w:tc>
          <w:tcPr>
            <w:tcW w:w="2772" w:type="dxa"/>
            <w:vAlign w:val="center"/>
          </w:tcPr>
          <w:p w:rsidR="00DF6F05" w:rsidRDefault="00BC76A3">
            <w:pPr>
              <w:widowControl w:val="0"/>
              <w:pBdr>
                <w:top w:val="nil"/>
                <w:left w:val="nil"/>
                <w:bottom w:val="nil"/>
                <w:right w:val="nil"/>
                <w:between w:val="nil"/>
              </w:pBdr>
              <w:rPr>
                <w:color w:val="000000"/>
                <w:sz w:val="20"/>
                <w:szCs w:val="20"/>
              </w:rPr>
            </w:pPr>
            <w:r>
              <w:rPr>
                <w:color w:val="000000"/>
                <w:sz w:val="20"/>
                <w:szCs w:val="20"/>
              </w:rPr>
              <w:t xml:space="preserve">   Esame di certificazione</w:t>
            </w:r>
          </w:p>
        </w:tc>
        <w:tc>
          <w:tcPr>
            <w:tcW w:w="2352" w:type="dxa"/>
            <w:vAlign w:val="center"/>
          </w:tcPr>
          <w:p w:rsidR="00DF6F05" w:rsidRDefault="00BC76A3">
            <w:pPr>
              <w:widowControl w:val="0"/>
              <w:pBdr>
                <w:top w:val="nil"/>
                <w:left w:val="nil"/>
                <w:bottom w:val="nil"/>
                <w:right w:val="nil"/>
                <w:between w:val="nil"/>
              </w:pBdr>
              <w:ind w:right="105"/>
              <w:jc w:val="center"/>
              <w:rPr>
                <w:color w:val="000000"/>
                <w:sz w:val="20"/>
                <w:szCs w:val="20"/>
              </w:rPr>
            </w:pPr>
            <w:r>
              <w:rPr>
                <w:color w:val="000000"/>
                <w:sz w:val="20"/>
                <w:szCs w:val="20"/>
              </w:rPr>
              <w:t>UCS come da tabella</w:t>
            </w:r>
          </w:p>
        </w:tc>
        <w:tc>
          <w:tcPr>
            <w:tcW w:w="974" w:type="dxa"/>
            <w:vAlign w:val="center"/>
          </w:tcPr>
          <w:p w:rsidR="00DF6F05" w:rsidRDefault="00BC76A3">
            <w:pPr>
              <w:widowControl w:val="0"/>
              <w:pBdr>
                <w:top w:val="nil"/>
                <w:left w:val="nil"/>
                <w:bottom w:val="nil"/>
                <w:right w:val="nil"/>
                <w:between w:val="nil"/>
              </w:pBdr>
              <w:jc w:val="center"/>
              <w:rPr>
                <w:color w:val="000000"/>
                <w:sz w:val="20"/>
                <w:szCs w:val="20"/>
              </w:rPr>
            </w:pPr>
            <w:r>
              <w:rPr>
                <w:color w:val="000000"/>
                <w:sz w:val="20"/>
                <w:szCs w:val="20"/>
              </w:rPr>
              <w:t>E3.5</w:t>
            </w:r>
          </w:p>
        </w:tc>
        <w:tc>
          <w:tcPr>
            <w:tcW w:w="3756" w:type="dxa"/>
            <w:vAlign w:val="center"/>
          </w:tcPr>
          <w:p w:rsidR="00DF6F05" w:rsidRDefault="00BC76A3">
            <w:pPr>
              <w:widowControl w:val="0"/>
              <w:pBdr>
                <w:top w:val="nil"/>
                <w:left w:val="nil"/>
                <w:bottom w:val="nil"/>
                <w:right w:val="nil"/>
                <w:between w:val="nil"/>
              </w:pBdr>
              <w:jc w:val="center"/>
              <w:rPr>
                <w:color w:val="000000"/>
                <w:sz w:val="20"/>
                <w:szCs w:val="20"/>
              </w:rPr>
            </w:pPr>
            <w:r>
              <w:rPr>
                <w:color w:val="000000"/>
                <w:sz w:val="20"/>
                <w:szCs w:val="20"/>
              </w:rPr>
              <w:t>Effettiva fruizione del servizio</w:t>
            </w:r>
          </w:p>
        </w:tc>
      </w:tr>
    </w:tbl>
    <w:p w:rsidR="00DF6F05" w:rsidRDefault="00DF6F05">
      <w:pPr>
        <w:widowControl w:val="0"/>
        <w:pBdr>
          <w:top w:val="nil"/>
          <w:left w:val="nil"/>
          <w:bottom w:val="nil"/>
          <w:right w:val="nil"/>
          <w:between w:val="nil"/>
        </w:pBdr>
        <w:spacing w:after="0" w:line="240" w:lineRule="auto"/>
        <w:ind w:left="117" w:right="105"/>
        <w:jc w:val="both"/>
        <w:rPr>
          <w:rFonts w:ascii="Times New Roman" w:eastAsia="Times New Roman" w:hAnsi="Times New Roman" w:cs="Times New Roman"/>
          <w:b/>
          <w:color w:val="000000"/>
        </w:rPr>
      </w:pPr>
    </w:p>
    <w:p w:rsidR="00DF6F05" w:rsidRDefault="00DF6F05">
      <w:pPr>
        <w:spacing w:after="0" w:line="240" w:lineRule="auto"/>
        <w:jc w:val="both"/>
      </w:pPr>
    </w:p>
    <w:p w:rsidR="00DF6F05" w:rsidRDefault="00BC76A3">
      <w:pPr>
        <w:spacing w:after="0" w:line="240" w:lineRule="auto"/>
        <w:jc w:val="both"/>
        <w:rPr>
          <w:b/>
        </w:rPr>
      </w:pPr>
      <w:r>
        <w:rPr>
          <w:b/>
        </w:rPr>
        <w:t xml:space="preserve">FAGG - Formazione in aula di gruppo </w:t>
      </w:r>
    </w:p>
    <w:p w:rsidR="00DF6F05" w:rsidRDefault="00BC76A3">
      <w:pPr>
        <w:spacing w:after="0" w:line="240" w:lineRule="auto"/>
        <w:jc w:val="both"/>
      </w:pPr>
      <w:r>
        <w:rPr>
          <w:b/>
        </w:rPr>
        <w:t xml:space="preserve">E1.1 </w:t>
      </w:r>
      <w:r>
        <w:t xml:space="preserve">si rendiconta sul </w:t>
      </w:r>
      <w:r>
        <w:rPr>
          <w:b/>
        </w:rPr>
        <w:t>corso</w:t>
      </w:r>
      <w:r>
        <w:t xml:space="preserve"> (UCS € 90,00)</w:t>
      </w:r>
    </w:p>
    <w:p w:rsidR="00DF6F05" w:rsidRDefault="00BC76A3">
      <w:pPr>
        <w:spacing w:after="0" w:line="240" w:lineRule="auto"/>
        <w:jc w:val="both"/>
      </w:pPr>
      <w:r>
        <w:rPr>
          <w:b/>
        </w:rPr>
        <w:t>E1.6</w:t>
      </w:r>
      <w:r>
        <w:t xml:space="preserve"> si rendiconta sul </w:t>
      </w:r>
      <w:r>
        <w:rPr>
          <w:b/>
        </w:rPr>
        <w:t xml:space="preserve">soggetto </w:t>
      </w:r>
      <w:r>
        <w:t>(UCS € 4,10), raggiungimento di almeno il 75% di presenza del monte ore totale composto dalle fasi di formazione d’aula di gruppo (focus paese, formazione in mobilità transnazionale, preparazione agli esami e certificazione). Non sarà riconosciuto alcun contributo se almeno 15 allievi non saranno rendicontabili.</w:t>
      </w:r>
    </w:p>
    <w:p w:rsidR="00DF6F05" w:rsidRDefault="00BC76A3">
      <w:pPr>
        <w:spacing w:after="0" w:line="240" w:lineRule="auto"/>
        <w:jc w:val="both"/>
      </w:pPr>
      <w:r>
        <w:rPr>
          <w:b/>
        </w:rPr>
        <w:t xml:space="preserve">E1.1 </w:t>
      </w:r>
      <w:r>
        <w:t xml:space="preserve">docenza di supporto - si rendiconta sul </w:t>
      </w:r>
      <w:r>
        <w:rPr>
          <w:b/>
        </w:rPr>
        <w:t>corso</w:t>
      </w:r>
      <w:r>
        <w:t xml:space="preserve"> (UCS € 76,80). L’UCS è da intendersi per ora di servizio erogata (ora/attività) e non per singolo docente di supporto.</w:t>
      </w:r>
    </w:p>
    <w:p w:rsidR="00DF6F05" w:rsidRDefault="00BC76A3">
      <w:pPr>
        <w:spacing w:after="0" w:line="240" w:lineRule="auto"/>
        <w:jc w:val="both"/>
        <w:rPr>
          <w:b/>
        </w:rPr>
      </w:pPr>
      <w:r>
        <w:rPr>
          <w:b/>
        </w:rPr>
        <w:t xml:space="preserve">D1.1 </w:t>
      </w:r>
      <w:r>
        <w:t>mobilità ALLIEVI – si rendiconta sul</w:t>
      </w:r>
      <w:r>
        <w:rPr>
          <w:b/>
        </w:rPr>
        <w:t xml:space="preserve"> soggetto </w:t>
      </w:r>
    </w:p>
    <w:p w:rsidR="00DF6F05" w:rsidRDefault="00BC76A3">
      <w:pPr>
        <w:spacing w:after="0" w:line="240" w:lineRule="auto"/>
        <w:jc w:val="both"/>
        <w:rPr>
          <w:b/>
        </w:rPr>
      </w:pPr>
      <w:r>
        <w:rPr>
          <w:b/>
        </w:rPr>
        <w:t xml:space="preserve">D1.1 </w:t>
      </w:r>
      <w:r>
        <w:t>mobilità ACCOMPAGNATORI – si rendiconta sul</w:t>
      </w:r>
      <w:r>
        <w:rPr>
          <w:b/>
        </w:rPr>
        <w:t xml:space="preserve"> corso</w:t>
      </w:r>
    </w:p>
    <w:p w:rsidR="00DF6F05" w:rsidRDefault="00BC76A3">
      <w:pPr>
        <w:spacing w:after="0" w:line="240" w:lineRule="auto"/>
        <w:jc w:val="both"/>
        <w:rPr>
          <w:b/>
        </w:rPr>
      </w:pPr>
      <w:r>
        <w:rPr>
          <w:b/>
        </w:rPr>
        <w:t xml:space="preserve">E3.5 </w:t>
      </w:r>
      <w:r>
        <w:t>certificazione linguistica – si rendiconta sul</w:t>
      </w:r>
      <w:r>
        <w:rPr>
          <w:b/>
        </w:rPr>
        <w:t xml:space="preserve"> soggetto</w:t>
      </w:r>
    </w:p>
    <w:p w:rsidR="00DF6F05" w:rsidRDefault="00BC76A3">
      <w:pPr>
        <w:spacing w:after="0" w:line="240" w:lineRule="auto"/>
        <w:jc w:val="both"/>
        <w:rPr>
          <w:b/>
        </w:rPr>
      </w:pPr>
      <w:r>
        <w:rPr>
          <w:b/>
        </w:rPr>
        <w:t xml:space="preserve">E3.6 </w:t>
      </w:r>
      <w:r>
        <w:t>costi di agenzia – si rendiconta sul</w:t>
      </w:r>
      <w:r>
        <w:rPr>
          <w:b/>
        </w:rPr>
        <w:t xml:space="preserve"> corso </w:t>
      </w:r>
    </w:p>
    <w:p w:rsidR="00DF6F05" w:rsidRDefault="00DF6F05">
      <w:pPr>
        <w:spacing w:after="0" w:line="240" w:lineRule="auto"/>
        <w:jc w:val="both"/>
      </w:pPr>
    </w:p>
    <w:p w:rsidR="00DF6F05" w:rsidRDefault="00DF6F05">
      <w:pPr>
        <w:spacing w:after="0" w:line="240" w:lineRule="auto"/>
        <w:jc w:val="both"/>
      </w:pPr>
    </w:p>
    <w:p w:rsidR="00DF6F05" w:rsidRDefault="00DF6F05">
      <w:pPr>
        <w:spacing w:after="0" w:line="240" w:lineRule="auto"/>
        <w:jc w:val="both"/>
        <w:rPr>
          <w:b/>
          <w:highlight w:val="yellow"/>
        </w:rPr>
      </w:pPr>
    </w:p>
    <w:p w:rsidR="00DF6F05" w:rsidRDefault="00BC76A3">
      <w:pPr>
        <w:spacing w:after="0" w:line="240" w:lineRule="auto"/>
        <w:jc w:val="both"/>
        <w:rPr>
          <w:b/>
        </w:rPr>
      </w:pPr>
      <w:r>
        <w:rPr>
          <w:b/>
        </w:rPr>
        <w:lastRenderedPageBreak/>
        <w:t>COMG - Coaching/mentoring di gruppo</w:t>
      </w:r>
    </w:p>
    <w:p w:rsidR="00DF6F05" w:rsidRDefault="00BC76A3">
      <w:pPr>
        <w:spacing w:after="0" w:line="240" w:lineRule="auto"/>
        <w:jc w:val="both"/>
        <w:rPr>
          <w:b/>
        </w:rPr>
      </w:pPr>
      <w:r>
        <w:rPr>
          <w:b/>
        </w:rPr>
        <w:t>COMI - Coaching/mentoring individuale</w:t>
      </w:r>
    </w:p>
    <w:p w:rsidR="00DF6F05" w:rsidRDefault="00BC76A3">
      <w:pPr>
        <w:spacing w:after="0" w:line="240" w:lineRule="auto"/>
        <w:jc w:val="both"/>
      </w:pPr>
      <w:r>
        <w:rPr>
          <w:b/>
        </w:rPr>
        <w:t>E 1.5</w:t>
      </w:r>
      <w:r>
        <w:rPr>
          <w:b/>
          <w:sz w:val="19"/>
          <w:szCs w:val="19"/>
        </w:rPr>
        <w:t xml:space="preserve"> </w:t>
      </w:r>
      <w:r>
        <w:t xml:space="preserve">si rendiconta sul </w:t>
      </w:r>
      <w:r>
        <w:rPr>
          <w:b/>
        </w:rPr>
        <w:t>soggetto</w:t>
      </w:r>
      <w:r>
        <w:t xml:space="preserve"> </w:t>
      </w:r>
    </w:p>
    <w:p w:rsidR="00DF6F05" w:rsidRDefault="00BC76A3">
      <w:pPr>
        <w:spacing w:after="0" w:line="240" w:lineRule="auto"/>
        <w:jc w:val="both"/>
      </w:pPr>
      <w:r>
        <w:rPr>
          <w:b/>
        </w:rPr>
        <w:t>E 1.4</w:t>
      </w:r>
      <w:r>
        <w:rPr>
          <w:b/>
          <w:sz w:val="19"/>
          <w:szCs w:val="19"/>
        </w:rPr>
        <w:t xml:space="preserve"> </w:t>
      </w:r>
      <w:r>
        <w:t xml:space="preserve">si rendiconta sul </w:t>
      </w:r>
      <w:r>
        <w:rPr>
          <w:b/>
        </w:rPr>
        <w:t>soggetto</w:t>
      </w:r>
      <w:r>
        <w:t xml:space="preserve"> </w:t>
      </w:r>
    </w:p>
    <w:p w:rsidR="00DF6F05" w:rsidRDefault="00BC76A3">
      <w:pPr>
        <w:spacing w:after="0" w:line="240" w:lineRule="auto"/>
        <w:jc w:val="both"/>
        <w:rPr>
          <w:b/>
        </w:rPr>
      </w:pPr>
      <w:r>
        <w:t>Rendicontabili al massimo 5 studenti fino ad un massimo di € 2.500,00</w:t>
      </w:r>
    </w:p>
    <w:p w:rsidR="00DF6F05" w:rsidRDefault="00DF6F05">
      <w:pPr>
        <w:spacing w:after="0" w:line="240" w:lineRule="auto"/>
        <w:jc w:val="both"/>
        <w:rPr>
          <w:b/>
        </w:rPr>
      </w:pPr>
    </w:p>
    <w:p w:rsidR="00DF6F05" w:rsidRDefault="00DF6F05">
      <w:pPr>
        <w:spacing w:after="0" w:line="240" w:lineRule="auto"/>
        <w:jc w:val="both"/>
      </w:pPr>
    </w:p>
    <w:p w:rsidR="00DF6F05" w:rsidRDefault="00BC76A3">
      <w:pPr>
        <w:spacing w:after="0" w:line="240" w:lineRule="auto"/>
        <w:jc w:val="both"/>
      </w:pPr>
      <w:r>
        <w:t xml:space="preserve">Il sistema considera rendicontabili tutti i soggetti, generando in automatico il giustificativo per tutti. Starà al Beneficiario accedere alla Lista delle voci finanziarie dei Soggetti (nei vari interventi formativi) ed eventualmente azzerare l’importo associato per quelli che non dovessero aver raggiunto le condizioni di </w:t>
      </w:r>
      <w:proofErr w:type="spellStart"/>
      <w:r>
        <w:t>rendicontabilità</w:t>
      </w:r>
      <w:proofErr w:type="spellEnd"/>
      <w:r>
        <w:t xml:space="preserve"> previste dalla DGR.</w:t>
      </w:r>
    </w:p>
    <w:p w:rsidR="00DF6F05" w:rsidRDefault="00DF6F05">
      <w:pPr>
        <w:spacing w:after="0" w:line="240" w:lineRule="auto"/>
        <w:jc w:val="both"/>
      </w:pPr>
    </w:p>
    <w:sectPr w:rsidR="00DF6F0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05"/>
    <w:rsid w:val="00B7243D"/>
    <w:rsid w:val="00BC76A3"/>
    <w:rsid w:val="00DF6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2B6F"/>
  <w15:docId w15:val="{69251495-1661-40BC-A96A-70CBB441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52B6E"/>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552B6E"/>
    <w:pPr>
      <w:ind w:left="720"/>
      <w:contextualSpacing/>
    </w:pPr>
  </w:style>
  <w:style w:type="table" w:customStyle="1" w:styleId="TableNormal1">
    <w:name w:val="Table Normal1"/>
    <w:uiPriority w:val="2"/>
    <w:qFormat/>
    <w:rsid w:val="00916D16"/>
    <w:tblPr>
      <w:tblCellMar>
        <w:top w:w="0" w:type="dxa"/>
        <w:left w:w="0" w:type="dxa"/>
        <w:bottom w:w="0" w:type="dxa"/>
        <w:right w:w="0" w:type="dxa"/>
      </w:tblCellMar>
    </w:tblPr>
  </w:style>
  <w:style w:type="paragraph" w:customStyle="1" w:styleId="TableParagraph">
    <w:name w:val="Table Paragraph"/>
    <w:basedOn w:val="Normale"/>
    <w:uiPriority w:val="1"/>
    <w:qFormat/>
    <w:rsid w:val="00916D16"/>
    <w:pPr>
      <w:widowControl w:val="0"/>
      <w:autoSpaceDE w:val="0"/>
      <w:autoSpaceDN w:val="0"/>
      <w:spacing w:after="0" w:line="240" w:lineRule="auto"/>
    </w:pPr>
    <w:rPr>
      <w:rFonts w:ascii="Times New Roman" w:eastAsia="Times New Roman" w:hAnsi="Times New Roman" w:cs="Times New Roman"/>
    </w:rPr>
  </w:style>
  <w:style w:type="table" w:styleId="Grigliatabella">
    <w:name w:val="Table Grid"/>
    <w:basedOn w:val="Tabellanormale"/>
    <w:uiPriority w:val="39"/>
    <w:rsid w:val="0083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s/MG8s8WKAwHIYrEjBrVtkmTw==">CgMxLjA4AHIhMXpiSlRXaVJWZzRubXVmekllSEV5V19FTHlyLXYzUGlB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371</Words>
  <Characters>2117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Sartorato</dc:creator>
  <cp:lastModifiedBy>ALVISE PILOTTO</cp:lastModifiedBy>
  <cp:revision>3</cp:revision>
  <dcterms:created xsi:type="dcterms:W3CDTF">2025-08-26T08:39:00Z</dcterms:created>
  <dcterms:modified xsi:type="dcterms:W3CDTF">2025-08-27T10:02:00Z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2023-02-02T10:27:50Z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80eba2c7-5101-4087-bbaf-485419a3a6b5</vt:lpwstr>
  </property>
  <property fmtid="{D5CDD505-2E9C-101B-9397-08002B2CF9AE}" pid="8" name="MSIP_Label_ea60d57e-af5b-4752-ac57-3e4f28ca11dc_ContentBits">
    <vt:lpwstr>0</vt:lpwstr>
  </property>
</Properties>
</file>