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1277D" w14:textId="77777777" w:rsidR="00AD7EF8" w:rsidRDefault="00AD7EF8" w:rsidP="00AD7EF8">
      <w:pPr>
        <w:pStyle w:val="Titolo1"/>
        <w:spacing w:line="276" w:lineRule="auto"/>
        <w:ind w:right="285"/>
        <w:jc w:val="both"/>
        <w:rPr>
          <w:highlight w:val="white"/>
        </w:rPr>
      </w:pPr>
      <w:r>
        <w:rPr>
          <w:highlight w:val="white"/>
        </w:rPr>
        <w:t>Allegato B). Informativa sul trattamento dati e pubblicazione</w:t>
      </w:r>
    </w:p>
    <w:p w14:paraId="40D4B349" w14:textId="77777777" w:rsidR="00AD7EF8" w:rsidRDefault="00AD7EF8" w:rsidP="00AD7EF8">
      <w:pPr>
        <w:spacing w:line="276" w:lineRule="auto"/>
        <w:jc w:val="both"/>
        <w:rPr>
          <w:b/>
          <w:smallCaps/>
          <w:highlight w:val="white"/>
        </w:rPr>
      </w:pPr>
    </w:p>
    <w:p w14:paraId="3AEEDF4C" w14:textId="77777777" w:rsidR="00AD7EF8" w:rsidRDefault="00AD7EF8" w:rsidP="00AD7EF8">
      <w:pPr>
        <w:spacing w:line="276" w:lineRule="auto"/>
        <w:jc w:val="both"/>
        <w:rPr>
          <w:b/>
          <w:smallCaps/>
          <w:highlight w:val="white"/>
        </w:rPr>
      </w:pPr>
    </w:p>
    <w:p w14:paraId="78F93009" w14:textId="77777777" w:rsidR="00AD7EF8" w:rsidRDefault="00AD7EF8" w:rsidP="00AD7EF8">
      <w:pPr>
        <w:pBdr>
          <w:top w:val="nil"/>
          <w:left w:val="nil"/>
          <w:bottom w:val="nil"/>
          <w:right w:val="nil"/>
          <w:between w:val="nil"/>
        </w:pBdr>
        <w:spacing w:line="276" w:lineRule="auto"/>
        <w:ind w:right="285"/>
        <w:jc w:val="both"/>
        <w:rPr>
          <w:rFonts w:ascii="Garamond" w:eastAsia="Garamond" w:hAnsi="Garamond" w:cs="Garamond"/>
          <w:b/>
          <w:sz w:val="24"/>
          <w:szCs w:val="24"/>
          <w:highlight w:val="white"/>
        </w:rPr>
      </w:pPr>
      <w:r>
        <w:rPr>
          <w:rFonts w:ascii="Garamond" w:eastAsia="Garamond" w:hAnsi="Garamond" w:cs="Garamond"/>
          <w:b/>
          <w:sz w:val="24"/>
          <w:szCs w:val="24"/>
          <w:highlight w:val="white"/>
        </w:rPr>
        <w:t>1. Oggetto del Trattamento</w:t>
      </w:r>
    </w:p>
    <w:p w14:paraId="0AB4C9C6" w14:textId="77777777" w:rsidR="00AD7EF8" w:rsidRDefault="00AD7EF8" w:rsidP="00AD7EF8">
      <w:pPr>
        <w:pBdr>
          <w:top w:val="nil"/>
          <w:left w:val="nil"/>
          <w:bottom w:val="nil"/>
          <w:right w:val="nil"/>
          <w:between w:val="nil"/>
        </w:pBdr>
        <w:spacing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Pr>
          <w:rFonts w:ascii="Garamond" w:eastAsia="Garamond" w:hAnsi="Garamond" w:cs="Garamond"/>
          <w:sz w:val="24"/>
          <w:szCs w:val="24"/>
          <w:highlight w:val="white"/>
        </w:rPr>
        <w:t>ReGiS</w:t>
      </w:r>
      <w:proofErr w:type="spellEnd"/>
      <w:r>
        <w:rPr>
          <w:rFonts w:ascii="Garamond" w:eastAsia="Garamond" w:hAnsi="Garamond" w:cs="Garamond"/>
          <w:sz w:val="24"/>
          <w:szCs w:val="24"/>
          <w:highlight w:val="white"/>
        </w:rPr>
        <w:t>, messo a disposizione dal Servizio centrale per il PNRR o di altri sistemi informativi locali adottati per lo scambio elettronico dei dati) e la pubblicazione degli elementi ritenuti non sensibili nei siti istituzionali e di consultazione aperta www……………. e www………...</w:t>
      </w:r>
    </w:p>
    <w:p w14:paraId="54AD7830" w14:textId="77777777" w:rsidR="00AD7EF8" w:rsidRPr="009019B0" w:rsidRDefault="00AD7EF8" w:rsidP="00AD7EF8">
      <w:pPr>
        <w:pBdr>
          <w:top w:val="nil"/>
          <w:left w:val="nil"/>
          <w:bottom w:val="nil"/>
          <w:right w:val="nil"/>
          <w:between w:val="nil"/>
        </w:pBdr>
        <w:spacing w:line="276" w:lineRule="auto"/>
        <w:ind w:right="285"/>
        <w:jc w:val="both"/>
        <w:rPr>
          <w:rFonts w:ascii="Garamond" w:eastAsia="Garamond" w:hAnsi="Garamond" w:cs="Garamond"/>
          <w:color w:val="000000" w:themeColor="text1"/>
          <w:sz w:val="24"/>
          <w:szCs w:val="24"/>
          <w:highlight w:val="white"/>
        </w:rPr>
      </w:pPr>
      <w:r>
        <w:rPr>
          <w:rFonts w:ascii="Garamond" w:eastAsia="Garamond" w:hAnsi="Garamond" w:cs="Garamond"/>
          <w:sz w:val="24"/>
          <w:szCs w:val="24"/>
          <w:highlight w:val="white"/>
        </w:rPr>
        <w:t xml:space="preserve">Il trattamento dei dati personali avviene nel rispetto della dignità umana, dei diritti e delle libertà </w:t>
      </w:r>
      <w:r w:rsidRPr="009019B0">
        <w:rPr>
          <w:rFonts w:ascii="Garamond" w:eastAsia="Garamond" w:hAnsi="Garamond" w:cs="Garamond"/>
          <w:color w:val="000000" w:themeColor="text1"/>
          <w:sz w:val="24"/>
          <w:szCs w:val="24"/>
          <w:highlight w:val="white"/>
        </w:rPr>
        <w:t>fondamentali della persona.</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AD7EF8" w:rsidRPr="009019B0" w14:paraId="00963F88" w14:textId="77777777" w:rsidTr="00302CCC">
        <w:trPr>
          <w:trHeight w:val="5870"/>
        </w:trPr>
        <w:tc>
          <w:tcPr>
            <w:tcW w:w="855" w:type="dxa"/>
            <w:tcBorders>
              <w:top w:val="nil"/>
              <w:left w:val="nil"/>
              <w:bottom w:val="nil"/>
              <w:right w:val="nil"/>
            </w:tcBorders>
            <w:shd w:val="clear" w:color="auto" w:fill="4F81BD"/>
            <w:tcMar>
              <w:top w:w="100" w:type="dxa"/>
              <w:left w:w="100" w:type="dxa"/>
              <w:bottom w:w="100" w:type="dxa"/>
              <w:right w:w="100" w:type="dxa"/>
            </w:tcMar>
          </w:tcPr>
          <w:p w14:paraId="1DE89950" w14:textId="77777777" w:rsidR="00AD7EF8" w:rsidRPr="009019B0" w:rsidRDefault="00AD7EF8" w:rsidP="00302CCC">
            <w:pPr>
              <w:spacing w:line="276" w:lineRule="auto"/>
              <w:jc w:val="both"/>
              <w:rPr>
                <w:b/>
                <w:smallCaps/>
                <w:color w:val="000000" w:themeColor="text1"/>
                <w:highlight w:val="white"/>
              </w:rPr>
            </w:pPr>
            <w:r w:rsidRPr="009019B0">
              <w:rPr>
                <w:b/>
                <w:smallCaps/>
                <w:noProof/>
                <w:color w:val="000000" w:themeColor="text1"/>
                <w:highlight w:val="white"/>
              </w:rPr>
              <w:drawing>
                <wp:inline distT="114300" distB="114300" distL="114300" distR="114300" wp14:anchorId="2BF65AA8" wp14:editId="2500A504">
                  <wp:extent cx="409575" cy="406400"/>
                  <wp:effectExtent l="0" t="0" r="0" b="0"/>
                  <wp:docPr id="12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7F4E5DA9" w14:textId="77777777" w:rsidR="00AD7EF8" w:rsidRPr="009019B0" w:rsidRDefault="00AD7EF8" w:rsidP="00302CCC">
            <w:pPr>
              <w:spacing w:before="120" w:after="240" w:line="360"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Normativa di riferimento</w:t>
            </w:r>
          </w:p>
          <w:p w14:paraId="7C6C2729"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color w:val="000000" w:themeColor="text1"/>
                <w:highlight w:val="white"/>
              </w:rPr>
              <w:t xml:space="preserve">▪      </w:t>
            </w:r>
            <w:r w:rsidRPr="009019B0">
              <w:rPr>
                <w:rFonts w:ascii="Garamond" w:eastAsia="Garamond" w:hAnsi="Garamond" w:cs="Garamond"/>
                <w:color w:val="000000" w:themeColor="text1"/>
                <w:sz w:val="24"/>
                <w:szCs w:val="24"/>
                <w:highlight w:val="white"/>
              </w:rPr>
              <w:t xml:space="preserve">  Disposizioni contenute nel del Regolamento (UE) 2021/241 (Dispositivo per la Ripresa e la Resilienza (RRF);</w:t>
            </w:r>
          </w:p>
          <w:p w14:paraId="5C273904"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LEGGE 29 luglio 2021, n. 108 Conversione in legge, con modificazioni, del decreto-legge 31 maggio 2021, n. 77, recante “</w:t>
            </w:r>
            <w:proofErr w:type="spellStart"/>
            <w:r w:rsidRPr="009019B0">
              <w:rPr>
                <w:rFonts w:ascii="Garamond" w:eastAsia="Garamond" w:hAnsi="Garamond" w:cs="Garamond"/>
                <w:color w:val="000000" w:themeColor="text1"/>
                <w:sz w:val="24"/>
                <w:szCs w:val="24"/>
                <w:highlight w:val="white"/>
              </w:rPr>
              <w:t>Governance</w:t>
            </w:r>
            <w:proofErr w:type="spellEnd"/>
            <w:r w:rsidRPr="009019B0">
              <w:rPr>
                <w:rFonts w:ascii="Garamond" w:eastAsia="Garamond" w:hAnsi="Garamond" w:cs="Garamond"/>
                <w:color w:val="000000" w:themeColor="text1"/>
                <w:sz w:val="24"/>
                <w:szCs w:val="24"/>
                <w:highlight w:val="white"/>
              </w:rPr>
              <w:t xml:space="preserve"> del Piano nazionale di ripresa e resilienza e prime misure di rafforzamento delle strutture amministrative e di accelerazione e snellimento delle procedure”.</w:t>
            </w:r>
          </w:p>
          <w:p w14:paraId="67C348A9"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xml:space="preserve">▪        Codice della Privacy (d.lgs. 196/2003) coordinato e aggiornato, da ultimo, con le modifiche apportate dalla legge 27 dicembre 2019, n. 160, dal </w:t>
            </w:r>
            <w:proofErr w:type="spellStart"/>
            <w:r w:rsidRPr="009019B0">
              <w:rPr>
                <w:rFonts w:ascii="Garamond" w:eastAsia="Garamond" w:hAnsi="Garamond" w:cs="Garamond"/>
                <w:color w:val="000000" w:themeColor="text1"/>
                <w:sz w:val="24"/>
                <w:szCs w:val="24"/>
                <w:highlight w:val="white"/>
              </w:rPr>
              <w:t>d.l.</w:t>
            </w:r>
            <w:proofErr w:type="spellEnd"/>
            <w:r w:rsidRPr="009019B0">
              <w:rPr>
                <w:rFonts w:ascii="Garamond" w:eastAsia="Garamond" w:hAnsi="Garamond" w:cs="Garamond"/>
                <w:color w:val="000000" w:themeColor="text1"/>
                <w:sz w:val="24"/>
                <w:szCs w:val="24"/>
                <w:highlight w:val="white"/>
              </w:rPr>
              <w:t xml:space="preserve"> 14 giugno 2019, n. 53, dal D.M. 15 marzo 2019 e dal decreto di adeguamento </w:t>
            </w:r>
            <w:proofErr w:type="spellStart"/>
            <w:r w:rsidRPr="009019B0">
              <w:rPr>
                <w:rFonts w:ascii="Garamond" w:eastAsia="Garamond" w:hAnsi="Garamond" w:cs="Garamond"/>
                <w:color w:val="000000" w:themeColor="text1"/>
                <w:sz w:val="24"/>
                <w:szCs w:val="24"/>
                <w:highlight w:val="white"/>
              </w:rPr>
              <w:t>d.l.</w:t>
            </w:r>
            <w:proofErr w:type="spellEnd"/>
            <w:r w:rsidRPr="009019B0">
              <w:rPr>
                <w:rFonts w:ascii="Garamond" w:eastAsia="Garamond" w:hAnsi="Garamond" w:cs="Garamond"/>
                <w:color w:val="000000" w:themeColor="text1"/>
                <w:sz w:val="24"/>
                <w:szCs w:val="24"/>
                <w:highlight w:val="white"/>
              </w:rPr>
              <w:t xml:space="preserve"> 10 agosto 2018, n. 101, alle disposizioni contenute nel Regolamento UE 2016/679 (General data protection regulation, c.d. GDPR Privacy);</w:t>
            </w:r>
          </w:p>
          <w:p w14:paraId="49C75F0D"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d.lgs. 25 maggio 2016, n. 97, Revisione e semplificazione delle disposizioni in materia di prevenzione della corruzione, pubblicità e trasparenza, correttivo della legge</w:t>
            </w:r>
            <w:hyperlink r:id="rId7">
              <w:r w:rsidRPr="009019B0">
                <w:rPr>
                  <w:rFonts w:ascii="Garamond" w:eastAsia="Garamond" w:hAnsi="Garamond" w:cs="Garamond"/>
                  <w:color w:val="000000" w:themeColor="text1"/>
                  <w:sz w:val="24"/>
                  <w:szCs w:val="24"/>
                  <w:highlight w:val="white"/>
                  <w:u w:val="single"/>
                </w:rPr>
                <w:t xml:space="preserve"> n. 190 del 6 novembre 2012</w:t>
              </w:r>
            </w:hyperlink>
            <w:r w:rsidRPr="009019B0">
              <w:rPr>
                <w:rFonts w:ascii="Garamond" w:eastAsia="Garamond" w:hAnsi="Garamond" w:cs="Garamond"/>
                <w:color w:val="000000" w:themeColor="text1"/>
                <w:sz w:val="24"/>
                <w:szCs w:val="24"/>
                <w:highlight w:val="white"/>
              </w:rPr>
              <w:t xml:space="preserve"> e del </w:t>
            </w:r>
            <w:proofErr w:type="spellStart"/>
            <w:r w:rsidRPr="009019B0">
              <w:rPr>
                <w:rFonts w:ascii="Garamond" w:eastAsia="Garamond" w:hAnsi="Garamond" w:cs="Garamond"/>
                <w:color w:val="000000" w:themeColor="text1"/>
                <w:sz w:val="24"/>
                <w:szCs w:val="24"/>
                <w:highlight w:val="white"/>
              </w:rPr>
              <w:t>d.l.</w:t>
            </w:r>
            <w:proofErr w:type="spellEnd"/>
            <w:r w:rsidRPr="009019B0">
              <w:rPr>
                <w:color w:val="000000" w:themeColor="text1"/>
              </w:rPr>
              <w:fldChar w:fldCharType="begin"/>
            </w:r>
            <w:r w:rsidRPr="009019B0">
              <w:rPr>
                <w:color w:val="000000" w:themeColor="text1"/>
              </w:rPr>
              <w:instrText xml:space="preserve"> HYPERLINK "https://www.bosettiegatti.eu/info/norme/statali/2013_0033.htm" \h </w:instrText>
            </w:r>
            <w:r w:rsidRPr="009019B0">
              <w:rPr>
                <w:color w:val="000000" w:themeColor="text1"/>
              </w:rPr>
              <w:fldChar w:fldCharType="separate"/>
            </w:r>
            <w:r w:rsidRPr="009019B0">
              <w:rPr>
                <w:rFonts w:ascii="Garamond" w:eastAsia="Garamond" w:hAnsi="Garamond" w:cs="Garamond"/>
                <w:color w:val="000000" w:themeColor="text1"/>
                <w:sz w:val="24"/>
                <w:szCs w:val="24"/>
                <w:highlight w:val="white"/>
                <w:u w:val="single"/>
              </w:rPr>
              <w:t xml:space="preserve"> 14 marzo 2013, n. 33</w:t>
            </w:r>
            <w:r w:rsidRPr="009019B0">
              <w:rPr>
                <w:rFonts w:ascii="Garamond" w:eastAsia="Garamond" w:hAnsi="Garamond" w:cs="Garamond"/>
                <w:color w:val="000000" w:themeColor="text1"/>
                <w:sz w:val="24"/>
                <w:szCs w:val="24"/>
                <w:highlight w:val="white"/>
                <w:u w:val="single"/>
              </w:rPr>
              <w:fldChar w:fldCharType="end"/>
            </w:r>
            <w:r w:rsidRPr="009019B0">
              <w:rPr>
                <w:rFonts w:ascii="Garamond" w:eastAsia="Garamond" w:hAnsi="Garamond" w:cs="Garamond"/>
                <w:color w:val="000000" w:themeColor="text1"/>
                <w:sz w:val="24"/>
                <w:szCs w:val="24"/>
                <w:highlight w:val="white"/>
              </w:rPr>
              <w:t>, ai sensi dell'</w:t>
            </w:r>
            <w:hyperlink r:id="rId8" w:anchor="07">
              <w:r w:rsidRPr="009019B0">
                <w:rPr>
                  <w:rFonts w:ascii="Garamond" w:eastAsia="Garamond" w:hAnsi="Garamond" w:cs="Garamond"/>
                  <w:color w:val="000000" w:themeColor="text1"/>
                  <w:sz w:val="24"/>
                  <w:szCs w:val="24"/>
                  <w:highlight w:val="white"/>
                  <w:u w:val="single"/>
                </w:rPr>
                <w:t>art. 7 della legge n. 124 del 7 agosto 2015,</w:t>
              </w:r>
            </w:hyperlink>
            <w:r w:rsidRPr="009019B0">
              <w:rPr>
                <w:rFonts w:ascii="Garamond" w:eastAsia="Garamond" w:hAnsi="Garamond" w:cs="Garamond"/>
                <w:color w:val="000000" w:themeColor="text1"/>
                <w:sz w:val="24"/>
                <w:szCs w:val="24"/>
                <w:highlight w:val="white"/>
              </w:rPr>
              <w:t xml:space="preserve"> in materia di riorganizzazione delle Amministrazioni pubbliche.</w:t>
            </w:r>
          </w:p>
        </w:tc>
      </w:tr>
    </w:tbl>
    <w:p w14:paraId="1F0FF4AA" w14:textId="77777777" w:rsidR="00AD7EF8" w:rsidRDefault="00AD7EF8" w:rsidP="00AD7EF8">
      <w:pPr>
        <w:spacing w:before="240" w:after="0" w:line="276" w:lineRule="auto"/>
        <w:jc w:val="both"/>
        <w:rPr>
          <w:rFonts w:ascii="Garamond" w:eastAsia="Garamond" w:hAnsi="Garamond" w:cs="Garamond"/>
          <w:b/>
          <w:smallCaps/>
          <w:sz w:val="24"/>
          <w:szCs w:val="24"/>
          <w:highlight w:val="white"/>
        </w:rPr>
      </w:pPr>
      <w:r>
        <w:rPr>
          <w:rFonts w:ascii="Garamond" w:eastAsia="Garamond" w:hAnsi="Garamond" w:cs="Garamond"/>
          <w:b/>
          <w:smallCaps/>
          <w:sz w:val="24"/>
          <w:szCs w:val="24"/>
          <w:highlight w:val="white"/>
        </w:rPr>
        <w:t xml:space="preserve"> </w:t>
      </w:r>
    </w:p>
    <w:p w14:paraId="4229D056" w14:textId="77777777" w:rsidR="00AD7EF8" w:rsidRDefault="00AD7EF8" w:rsidP="00AD7EF8">
      <w:pPr>
        <w:rPr>
          <w:highlight w:val="white"/>
        </w:rPr>
      </w:pPr>
      <w:r>
        <w:rPr>
          <w:rFonts w:ascii="Garamond" w:eastAsia="Garamond" w:hAnsi="Garamond" w:cs="Garamond"/>
          <w:b/>
          <w:sz w:val="24"/>
          <w:szCs w:val="24"/>
          <w:highlight w:val="white"/>
        </w:rPr>
        <w:t>2. Finalità del trattamento</w:t>
      </w:r>
    </w:p>
    <w:p w14:paraId="592A4985" w14:textId="77777777" w:rsidR="00AD7EF8" w:rsidRDefault="00AD7EF8" w:rsidP="00AD7EF8">
      <w:pPr>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I dati personali, trasmessi anche attraverso compilazione e inoltro di moduli, vengono trattati per rispondere alle richieste degli interessati, istruire un procedimento amministrativo (in questo caso la </w:t>
      </w:r>
      <w:r>
        <w:rPr>
          <w:rFonts w:ascii="Garamond" w:eastAsia="Garamond" w:hAnsi="Garamond" w:cs="Garamond"/>
          <w:sz w:val="24"/>
          <w:szCs w:val="24"/>
          <w:highlight w:val="white"/>
        </w:rPr>
        <w:lastRenderedPageBreak/>
        <w:t xml:space="preserve">finalità viene perseguita durante tutta la fase di gestione della procedura di accesso alle agevolazioni, incluse quella </w:t>
      </w:r>
      <w:proofErr w:type="spellStart"/>
      <w:r>
        <w:rPr>
          <w:rFonts w:ascii="Garamond" w:eastAsia="Garamond" w:hAnsi="Garamond" w:cs="Garamond"/>
          <w:sz w:val="24"/>
          <w:szCs w:val="24"/>
          <w:highlight w:val="white"/>
        </w:rPr>
        <w:t>endoprocedimentale</w:t>
      </w:r>
      <w:proofErr w:type="spellEnd"/>
      <w:r>
        <w:rPr>
          <w:rFonts w:ascii="Garamond" w:eastAsia="Garamond" w:hAnsi="Garamond" w:cs="Garamond"/>
          <w:sz w:val="24"/>
          <w:szCs w:val="24"/>
          <w:highlight w:val="white"/>
        </w:rPr>
        <w:t>, procedimentale, istruttoria e di erogazione dell’agevolazione), oltre che per assolvere eventuali obblighi di legge, contabili e fiscali.</w:t>
      </w:r>
    </w:p>
    <w:p w14:paraId="46536668" w14:textId="77777777" w:rsidR="00AD7EF8" w:rsidRDefault="00AD7EF8" w:rsidP="00AD7EF8">
      <w:pPr>
        <w:rPr>
          <w:rFonts w:ascii="Garamond" w:eastAsia="Garamond" w:hAnsi="Garamond" w:cs="Garamond"/>
          <w:b/>
          <w:sz w:val="24"/>
          <w:szCs w:val="24"/>
          <w:highlight w:val="white"/>
        </w:rPr>
      </w:pPr>
      <w:r>
        <w:rPr>
          <w:rFonts w:ascii="Garamond" w:eastAsia="Garamond" w:hAnsi="Garamond" w:cs="Garamond"/>
          <w:b/>
          <w:sz w:val="24"/>
          <w:szCs w:val="24"/>
          <w:highlight w:val="white"/>
        </w:rPr>
        <w:t>Conferimento dati nell’ambito delle iniziative PNRR</w:t>
      </w:r>
    </w:p>
    <w:p w14:paraId="088C7DA0" w14:textId="77777777" w:rsidR="00AD7EF8" w:rsidRDefault="00AD7EF8" w:rsidP="00AD7EF8">
      <w:pPr>
        <w:rPr>
          <w:rFonts w:ascii="Garamond" w:eastAsia="Garamond" w:hAnsi="Garamond" w:cs="Garamond"/>
          <w:sz w:val="24"/>
          <w:szCs w:val="24"/>
          <w:highlight w:val="white"/>
        </w:rPr>
      </w:pPr>
      <w:r>
        <w:rPr>
          <w:rFonts w:ascii="Garamond" w:eastAsia="Garamond" w:hAnsi="Garamond" w:cs="Garamond"/>
          <w:sz w:val="24"/>
          <w:szCs w:val="24"/>
          <w:highlight w:val="white"/>
        </w:rPr>
        <w:t>In ottemperanza alle disposizioni previste nel Dispositivo per la Ripresa e la Resilienza (RRF) e dal Decreto Legge 77 del 2021 convertito in Legge 29 luglio 2021, n. 108</w:t>
      </w:r>
    </w:p>
    <w:p w14:paraId="10BC0E70"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highlight w:val="white"/>
        </w:rPr>
        <w:t xml:space="preserve">- </w:t>
      </w:r>
      <w:r>
        <w:rPr>
          <w:rFonts w:ascii="Garamond" w:eastAsia="Garamond" w:hAnsi="Garamond" w:cs="Garamond"/>
          <w:sz w:val="24"/>
          <w:szCs w:val="24"/>
          <w:highlight w:val="white"/>
        </w:rPr>
        <w:t>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14:paraId="198291B7"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Pr>
          <w:rFonts w:ascii="Garamond" w:eastAsia="Garamond" w:hAnsi="Garamond" w:cs="Garamond"/>
          <w:sz w:val="24"/>
          <w:szCs w:val="24"/>
          <w:highlight w:val="white"/>
        </w:rPr>
        <w:t>ReGiS</w:t>
      </w:r>
      <w:proofErr w:type="spellEnd"/>
      <w:r>
        <w:rPr>
          <w:rFonts w:ascii="Garamond" w:eastAsia="Garamond" w:hAnsi="Garamond" w:cs="Garamond"/>
          <w:sz w:val="24"/>
          <w:szCs w:val="24"/>
          <w:highlight w:val="white"/>
        </w:rPr>
        <w:t>,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14:paraId="411CE7B5" w14:textId="77777777" w:rsidR="00AD7EF8" w:rsidRDefault="00AD7EF8" w:rsidP="00AD7EF8">
      <w:pPr>
        <w:pBdr>
          <w:top w:val="nil"/>
          <w:left w:val="nil"/>
          <w:bottom w:val="nil"/>
          <w:right w:val="nil"/>
          <w:between w:val="nil"/>
        </w:pBdr>
        <w:rPr>
          <w:rFonts w:ascii="Garamond" w:eastAsia="Garamond" w:hAnsi="Garamond" w:cs="Garamond"/>
          <w:b/>
          <w:sz w:val="24"/>
          <w:szCs w:val="24"/>
          <w:highlight w:val="white"/>
        </w:rPr>
      </w:pPr>
      <w:r>
        <w:rPr>
          <w:rFonts w:ascii="Garamond" w:eastAsia="Garamond" w:hAnsi="Garamond" w:cs="Garamond"/>
          <w:b/>
          <w:sz w:val="24"/>
          <w:szCs w:val="24"/>
          <w:highlight w:val="white"/>
        </w:rPr>
        <w:t>Tipologie di dati conferiti</w:t>
      </w:r>
    </w:p>
    <w:p w14:paraId="0CF1D683" w14:textId="77777777" w:rsidR="00AD7EF8" w:rsidRDefault="00AD7EF8" w:rsidP="00AD7EF8">
      <w:pPr>
        <w:pBdr>
          <w:top w:val="nil"/>
          <w:left w:val="nil"/>
          <w:bottom w:val="nil"/>
          <w:right w:val="nil"/>
          <w:between w:val="nil"/>
        </w:pBdr>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Pr>
          <w:rFonts w:ascii="Garamond" w:eastAsia="Garamond" w:hAnsi="Garamond" w:cs="Garamond"/>
          <w:sz w:val="24"/>
          <w:szCs w:val="24"/>
          <w:highlight w:val="white"/>
        </w:rPr>
        <w:t>s.m.i.</w:t>
      </w:r>
      <w:proofErr w:type="spellEnd"/>
      <w:r>
        <w:rPr>
          <w:rFonts w:ascii="Garamond" w:eastAsia="Garamond" w:hAnsi="Garamond" w:cs="Garamond"/>
          <w:sz w:val="24"/>
          <w:szCs w:val="24"/>
          <w:highlight w:val="white"/>
        </w:rPr>
        <w:t xml:space="preserve"> di cui alla Circolare MEF n. 18 del 30 aprile 2014 revisionato sulla base delle specificità attuative del PNRR e comunicato tramite apposita nota circolare del Servizio Centrale per il PNRR.</w:t>
      </w:r>
    </w:p>
    <w:p w14:paraId="34BF0534" w14:textId="77777777" w:rsidR="00AD7EF8" w:rsidRDefault="00AD7EF8" w:rsidP="00AD7EF8">
      <w:pPr>
        <w:pBdr>
          <w:top w:val="nil"/>
          <w:left w:val="nil"/>
          <w:bottom w:val="nil"/>
          <w:right w:val="nil"/>
          <w:between w:val="nil"/>
        </w:pBdr>
        <w:jc w:val="both"/>
        <w:rPr>
          <w:rFonts w:ascii="Garamond" w:eastAsia="Garamond" w:hAnsi="Garamond" w:cs="Garamond"/>
          <w:sz w:val="24"/>
          <w:szCs w:val="24"/>
          <w:highlight w:val="white"/>
        </w:rPr>
      </w:pPr>
      <w:r>
        <w:rPr>
          <w:rFonts w:ascii="Garamond" w:eastAsia="Garamond" w:hAnsi="Garamond" w:cs="Garamond"/>
          <w:sz w:val="24"/>
          <w:szCs w:val="24"/>
          <w:highlight w:val="white"/>
        </w:rPr>
        <w:t>A titolo non esaustivo si indicano le principali informazioni oggetto di rilevazione:</w:t>
      </w:r>
    </w:p>
    <w:p w14:paraId="1F377CC6"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anagrafici del progetto e classificazioni identificative, quali CUP, CIG, identificativo del progetto, riferimenti alla Missione/Componente/Misura di riferimento, identificativo del Soggetto attuatore, tipologia di progetto, localizzazione;</w:t>
      </w:r>
    </w:p>
    <w:p w14:paraId="2EBA8C73"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relativi ai soggetti coinvolti nell’attuazione, quali i Soggetti attuatori, realizzatori, destinatari degli interventi, incluso codice fiscale e/o partita IVA;</w:t>
      </w:r>
    </w:p>
    <w:p w14:paraId="45AAED6C"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finanziari, quali importo finanziato, eventuali altre fonti di finanziamento, quadro economico e relative voci di spesa, impegni contabili, impegni giuridicamente vincolanti, spese, pagamenti, recuperi, trasferimenti erogati;</w:t>
      </w:r>
    </w:p>
    <w:p w14:paraId="49631350"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procedurali, quali cronoprogramma e step relativi alle diverse procedure di gara (es: affidamento lavori, acquisto beni e servizi) con indicazione della relativa tempistica e delle pertinenti voci di spesa;</w:t>
      </w:r>
    </w:p>
    <w:p w14:paraId="78E8BE0C"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lastRenderedPageBreak/>
        <w:t xml:space="preserve">▪ dati fisici, (previsti e realizzati) quali indicatori di output (progressi compiuti) e di </w:t>
      </w:r>
      <w:proofErr w:type="spellStart"/>
      <w:r>
        <w:rPr>
          <w:rFonts w:ascii="Garamond" w:eastAsia="Garamond" w:hAnsi="Garamond" w:cs="Garamond"/>
          <w:sz w:val="24"/>
          <w:szCs w:val="24"/>
          <w:highlight w:val="white"/>
        </w:rPr>
        <w:t>outcome</w:t>
      </w:r>
      <w:proofErr w:type="spellEnd"/>
      <w:r>
        <w:rPr>
          <w:rFonts w:ascii="Garamond" w:eastAsia="Garamond" w:hAnsi="Garamond" w:cs="Garamond"/>
          <w:sz w:val="24"/>
          <w:szCs w:val="24"/>
          <w:highlight w:val="white"/>
        </w:rPr>
        <w:t xml:space="preserve"> (effetti generati) attraverso la valorizzazione di un set di indicatori specifico e la raccolta e catalogazione di documentazione a supporto;</w:t>
      </w:r>
    </w:p>
    <w:p w14:paraId="13CFD856"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livello di conseguimento di milestone e target, per gli interventi che concorrono al loro raggiungimento;</w:t>
      </w:r>
    </w:p>
    <w:p w14:paraId="27AB0607"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relativi all’aggiornamento trimestrale relativo all’analisi degli scostamenti per ciascuna M&amp;T prevista nel Piano;</w:t>
      </w:r>
    </w:p>
    <w:p w14:paraId="67130984"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elementi utili alla verifica del contributo all’obiettivo digitale e all’obiettivo sulla mitigazione del cambiamento climatico;</w:t>
      </w:r>
    </w:p>
    <w:p w14:paraId="6060F806"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 elementi utili alla verifica del soddisfacimento del requisito “Do No </w:t>
      </w:r>
      <w:proofErr w:type="spellStart"/>
      <w:r>
        <w:rPr>
          <w:rFonts w:ascii="Garamond" w:eastAsia="Garamond" w:hAnsi="Garamond" w:cs="Garamond"/>
          <w:sz w:val="24"/>
          <w:szCs w:val="24"/>
          <w:highlight w:val="white"/>
        </w:rPr>
        <w:t>Significant</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Harm</w:t>
      </w:r>
      <w:proofErr w:type="spellEnd"/>
      <w:r>
        <w:rPr>
          <w:rFonts w:ascii="Garamond" w:eastAsia="Garamond" w:hAnsi="Garamond" w:cs="Garamond"/>
          <w:sz w:val="24"/>
          <w:szCs w:val="24"/>
          <w:highlight w:val="white"/>
        </w:rPr>
        <w:t xml:space="preserve"> (DNSH)”;</w:t>
      </w:r>
    </w:p>
    <w:p w14:paraId="0317EDAD" w14:textId="77777777" w:rsidR="00AD7EF8" w:rsidRDefault="00AD7EF8" w:rsidP="00AD7EF8">
      <w:pPr>
        <w:pBdr>
          <w:top w:val="nil"/>
          <w:left w:val="nil"/>
          <w:bottom w:val="nil"/>
          <w:right w:val="nil"/>
          <w:between w:val="nil"/>
        </w:pBdr>
        <w:ind w:left="720"/>
        <w:jc w:val="both"/>
        <w:rPr>
          <w:rFonts w:ascii="Garamond" w:eastAsia="Garamond" w:hAnsi="Garamond" w:cs="Garamond"/>
          <w:sz w:val="24"/>
          <w:szCs w:val="24"/>
          <w:highlight w:val="white"/>
        </w:rPr>
      </w:pPr>
      <w:proofErr w:type="gramStart"/>
      <w:r>
        <w:rPr>
          <w:rFonts w:ascii="Garamond" w:eastAsia="Garamond" w:hAnsi="Garamond" w:cs="Garamond"/>
          <w:sz w:val="24"/>
          <w:szCs w:val="24"/>
          <w:highlight w:val="white"/>
        </w:rPr>
        <w:t>▪  atti</w:t>
      </w:r>
      <w:proofErr w:type="gramEnd"/>
      <w:r>
        <w:rPr>
          <w:rFonts w:ascii="Garamond" w:eastAsia="Garamond" w:hAnsi="Garamond" w:cs="Garamond"/>
          <w:sz w:val="24"/>
          <w:szCs w:val="24"/>
          <w:highlight w:val="white"/>
        </w:rPr>
        <w:t xml:space="preserve"> e documentazione probatoria dell’avanzamento attuativo di progetto.</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AD7EF8" w:rsidRPr="009019B0" w14:paraId="66BE2596" w14:textId="77777777" w:rsidTr="00302CCC">
        <w:trPr>
          <w:trHeight w:val="5690"/>
        </w:trPr>
        <w:tc>
          <w:tcPr>
            <w:tcW w:w="855" w:type="dxa"/>
            <w:tcBorders>
              <w:top w:val="nil"/>
              <w:left w:val="nil"/>
              <w:bottom w:val="nil"/>
              <w:right w:val="nil"/>
            </w:tcBorders>
            <w:shd w:val="clear" w:color="auto" w:fill="4F81BD"/>
            <w:tcMar>
              <w:top w:w="100" w:type="dxa"/>
              <w:left w:w="100" w:type="dxa"/>
              <w:bottom w:w="100" w:type="dxa"/>
              <w:right w:w="100" w:type="dxa"/>
            </w:tcMar>
          </w:tcPr>
          <w:p w14:paraId="4805C41D" w14:textId="77777777" w:rsidR="00AD7EF8" w:rsidRPr="009019B0" w:rsidRDefault="00AD7EF8" w:rsidP="00302CCC">
            <w:pPr>
              <w:spacing w:line="276" w:lineRule="auto"/>
              <w:jc w:val="both"/>
              <w:rPr>
                <w:b/>
                <w:smallCaps/>
                <w:color w:val="000000" w:themeColor="text1"/>
                <w:highlight w:val="white"/>
              </w:rPr>
            </w:pPr>
            <w:r w:rsidRPr="009019B0">
              <w:rPr>
                <w:b/>
                <w:smallCaps/>
                <w:noProof/>
                <w:color w:val="000000" w:themeColor="text1"/>
                <w:highlight w:val="white"/>
              </w:rPr>
              <w:drawing>
                <wp:inline distT="114300" distB="114300" distL="114300" distR="114300" wp14:anchorId="24C756F5" wp14:editId="0E5FB9F1">
                  <wp:extent cx="409575" cy="406400"/>
                  <wp:effectExtent l="0" t="0" r="0" b="0"/>
                  <wp:docPr id="12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20416435" w14:textId="77777777" w:rsidR="00AD7EF8" w:rsidRPr="009019B0" w:rsidRDefault="00AD7EF8" w:rsidP="00302CCC">
            <w:pPr>
              <w:spacing w:before="240" w:after="120" w:line="27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Amministrazioni centrali titolari di interventi PNRR</w:t>
            </w:r>
          </w:p>
          <w:p w14:paraId="07ADFD4E" w14:textId="77777777" w:rsidR="00AD7EF8" w:rsidRPr="009019B0" w:rsidRDefault="00AD7EF8" w:rsidP="00302CCC">
            <w:pPr>
              <w:spacing w:after="120" w:line="276" w:lineRule="auto"/>
              <w:ind w:left="340"/>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Ministeri e strutture della Presidenza del Consiglio dei ministri responsabili dell'attuazione delle riforme e degli investimenti (ossia delle Misure) previsti nel PNRR</w:t>
            </w:r>
          </w:p>
          <w:p w14:paraId="38DB47B8" w14:textId="77777777" w:rsidR="00AD7EF8" w:rsidRPr="009019B0" w:rsidRDefault="00AD7EF8" w:rsidP="00302CCC">
            <w:pPr>
              <w:spacing w:before="240" w:after="120" w:line="27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Soggetto attuatore</w:t>
            </w:r>
          </w:p>
          <w:p w14:paraId="4F5B2207" w14:textId="77777777" w:rsidR="00AD7EF8" w:rsidRPr="009019B0" w:rsidRDefault="00AD7EF8" w:rsidP="00302CCC">
            <w:pPr>
              <w:spacing w:before="240" w:after="240" w:line="256" w:lineRule="auto"/>
              <w:ind w:left="340"/>
              <w:jc w:val="both"/>
              <w:rPr>
                <w:rFonts w:ascii="Garamond" w:eastAsia="Garamond" w:hAnsi="Garamond" w:cs="Garamond"/>
                <w:b/>
                <w:i/>
                <w:smallCaps/>
                <w:color w:val="000000" w:themeColor="text1"/>
                <w:sz w:val="24"/>
                <w:szCs w:val="24"/>
                <w:highlight w:val="white"/>
              </w:rPr>
            </w:pPr>
            <w:r w:rsidRPr="009019B0">
              <w:rPr>
                <w:rFonts w:ascii="Garamond" w:eastAsia="Garamond" w:hAnsi="Garamond" w:cs="Garamond"/>
                <w:color w:val="000000" w:themeColor="text1"/>
                <w:sz w:val="24"/>
                <w:szCs w:val="24"/>
                <w:highlight w:val="white"/>
              </w:rPr>
              <w:t>Soggetto pubblico o privato responsabile dell’attuazione dell’intervento/progetto finanziato dal PNRR</w:t>
            </w:r>
            <w:r w:rsidRPr="009019B0">
              <w:rPr>
                <w:rFonts w:ascii="Garamond" w:eastAsia="Garamond" w:hAnsi="Garamond" w:cs="Garamond"/>
                <w:b/>
                <w:i/>
                <w:smallCaps/>
                <w:color w:val="000000" w:themeColor="text1"/>
                <w:sz w:val="24"/>
                <w:szCs w:val="24"/>
                <w:highlight w:val="white"/>
              </w:rPr>
              <w:t>.</w:t>
            </w:r>
          </w:p>
          <w:p w14:paraId="76354B9E" w14:textId="77777777" w:rsidR="00AD7EF8" w:rsidRPr="009019B0" w:rsidRDefault="00AD7EF8" w:rsidP="00302CCC">
            <w:pPr>
              <w:spacing w:before="240" w:after="240" w:line="256" w:lineRule="auto"/>
              <w:ind w:left="340"/>
              <w:jc w:val="both"/>
              <w:rPr>
                <w:rFonts w:ascii="Garamond" w:eastAsia="Garamond" w:hAnsi="Garamond" w:cs="Garamond"/>
                <w:b/>
                <w:i/>
                <w:smallCaps/>
                <w:color w:val="000000" w:themeColor="text1"/>
                <w:sz w:val="24"/>
                <w:szCs w:val="24"/>
                <w:highlight w:val="white"/>
              </w:rPr>
            </w:pPr>
            <w:r w:rsidRPr="009019B0">
              <w:rPr>
                <w:rFonts w:ascii="Garamond" w:eastAsia="Garamond" w:hAnsi="Garamond" w:cs="Garamond"/>
                <w:color w:val="000000" w:themeColor="text1"/>
                <w:sz w:val="24"/>
                <w:szCs w:val="24"/>
                <w:highlight w:val="white"/>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75A2EDDF" w14:textId="77777777" w:rsidR="00AD7EF8" w:rsidRPr="009019B0" w:rsidRDefault="00AD7EF8" w:rsidP="00302CCC">
            <w:pPr>
              <w:spacing w:before="120" w:after="120" w:line="27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Soggetto realizzatore o soggetto esecutore</w:t>
            </w:r>
          </w:p>
          <w:p w14:paraId="068C7F6C" w14:textId="77777777" w:rsidR="00AD7EF8" w:rsidRPr="009019B0" w:rsidRDefault="00AD7EF8" w:rsidP="00302CCC">
            <w:pPr>
              <w:spacing w:before="240" w:after="240" w:line="256" w:lineRule="auto"/>
              <w:ind w:left="340"/>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57010C01" w14:textId="77777777" w:rsidR="00AD7EF8" w:rsidRPr="009019B0" w:rsidRDefault="00AD7EF8" w:rsidP="00302CCC">
            <w:pPr>
              <w:spacing w:before="240" w:after="240" w:line="25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Soggetto destinatario</w:t>
            </w:r>
          </w:p>
          <w:p w14:paraId="5E365DED" w14:textId="77777777" w:rsidR="00AD7EF8" w:rsidRPr="009019B0" w:rsidRDefault="00AD7EF8" w:rsidP="00302CCC">
            <w:pPr>
              <w:spacing w:before="240" w:after="240" w:line="256" w:lineRule="auto"/>
              <w:ind w:left="340"/>
              <w:jc w:val="both"/>
              <w:rPr>
                <w:rFonts w:ascii="Garamond" w:eastAsia="Garamond" w:hAnsi="Garamond" w:cs="Garamond"/>
                <w:b/>
                <w:i/>
                <w:smallCaps/>
                <w:color w:val="000000" w:themeColor="text1"/>
                <w:sz w:val="24"/>
                <w:szCs w:val="24"/>
                <w:highlight w:val="white"/>
              </w:rPr>
            </w:pPr>
            <w:r w:rsidRPr="009019B0">
              <w:rPr>
                <w:rFonts w:ascii="Garamond" w:eastAsia="Garamond" w:hAnsi="Garamond" w:cs="Garamond"/>
                <w:color w:val="000000" w:themeColor="text1"/>
                <w:sz w:val="24"/>
                <w:szCs w:val="24"/>
                <w:highlight w:val="white"/>
              </w:rPr>
              <w:t>Soggetto destinatario finale dei fondi (es. Impresa, individuo, famiglia, amministrazione pubblica ecc.)</w:t>
            </w:r>
            <w:r w:rsidRPr="009019B0">
              <w:rPr>
                <w:rFonts w:ascii="Garamond" w:eastAsia="Garamond" w:hAnsi="Garamond" w:cs="Garamond"/>
                <w:b/>
                <w:i/>
                <w:smallCaps/>
                <w:color w:val="000000" w:themeColor="text1"/>
                <w:sz w:val="24"/>
                <w:szCs w:val="24"/>
                <w:highlight w:val="white"/>
              </w:rPr>
              <w:t>.</w:t>
            </w:r>
          </w:p>
        </w:tc>
      </w:tr>
    </w:tbl>
    <w:p w14:paraId="27B4D930" w14:textId="77777777" w:rsidR="00AD7EF8" w:rsidRPr="009019B0" w:rsidRDefault="00AD7EF8" w:rsidP="00AD7EF8">
      <w:pPr>
        <w:spacing w:before="240" w:after="0" w:line="360"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 xml:space="preserve"> </w:t>
      </w:r>
    </w:p>
    <w:p w14:paraId="5FFCDD47" w14:textId="77777777" w:rsidR="00AD7EF8" w:rsidRPr="009019B0" w:rsidRDefault="00AD7EF8" w:rsidP="00AD7EF8">
      <w:pPr>
        <w:pBdr>
          <w:top w:val="nil"/>
          <w:left w:val="nil"/>
          <w:bottom w:val="nil"/>
          <w:right w:val="nil"/>
          <w:between w:val="nil"/>
        </w:pBdr>
        <w:rPr>
          <w:rFonts w:ascii="Garamond" w:eastAsia="Garamond" w:hAnsi="Garamond" w:cs="Garamond"/>
          <w:b/>
          <w:color w:val="000000" w:themeColor="text1"/>
          <w:sz w:val="24"/>
          <w:szCs w:val="24"/>
          <w:highlight w:val="white"/>
        </w:rPr>
      </w:pPr>
      <w:r w:rsidRPr="009019B0">
        <w:rPr>
          <w:rFonts w:ascii="Garamond" w:eastAsia="Garamond" w:hAnsi="Garamond" w:cs="Garamond"/>
          <w:b/>
          <w:color w:val="000000" w:themeColor="text1"/>
          <w:sz w:val="24"/>
          <w:szCs w:val="24"/>
          <w:highlight w:val="white"/>
        </w:rPr>
        <w:t>3. Soggetti del trattamento</w:t>
      </w:r>
    </w:p>
    <w:p w14:paraId="02C1DAA4" w14:textId="77777777" w:rsidR="00AD7EF8" w:rsidRPr="009019B0" w:rsidRDefault="00AD7EF8" w:rsidP="00AD7EF8">
      <w:pPr>
        <w:spacing w:before="240" w:after="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lastRenderedPageBreak/>
        <w:t xml:space="preserve">La Giunta Regionale del Veneto, con sede in: Venezia, Palazzo Balbi - </w:t>
      </w:r>
      <w:proofErr w:type="spellStart"/>
      <w:r w:rsidRPr="009019B0">
        <w:rPr>
          <w:rFonts w:ascii="Garamond" w:eastAsia="Garamond" w:hAnsi="Garamond" w:cs="Garamond"/>
          <w:color w:val="000000" w:themeColor="text1"/>
          <w:sz w:val="24"/>
          <w:szCs w:val="24"/>
          <w:highlight w:val="white"/>
        </w:rPr>
        <w:t>Dorsoduro</w:t>
      </w:r>
      <w:proofErr w:type="spellEnd"/>
      <w:r w:rsidRPr="009019B0">
        <w:rPr>
          <w:rFonts w:ascii="Garamond" w:eastAsia="Garamond" w:hAnsi="Garamond" w:cs="Garamond"/>
          <w:color w:val="000000" w:themeColor="text1"/>
          <w:sz w:val="24"/>
          <w:szCs w:val="24"/>
          <w:highlight w:val="white"/>
        </w:rPr>
        <w:t xml:space="preserve"> 3901 è il Titolare del trattamento</w:t>
      </w:r>
      <w:r w:rsidRPr="009019B0">
        <w:rPr>
          <w:rFonts w:ascii="Garamond" w:eastAsia="Garamond" w:hAnsi="Garamond" w:cs="Garamond"/>
          <w:color w:val="000000" w:themeColor="text1"/>
          <w:sz w:val="24"/>
          <w:szCs w:val="24"/>
          <w:highlight w:val="white"/>
          <w:vertAlign w:val="superscript"/>
        </w:rPr>
        <w:footnoteReference w:id="1"/>
      </w:r>
      <w:r w:rsidRPr="009019B0">
        <w:rPr>
          <w:rFonts w:ascii="Garamond" w:eastAsia="Garamond" w:hAnsi="Garamond" w:cs="Garamond"/>
          <w:color w:val="000000" w:themeColor="text1"/>
          <w:sz w:val="24"/>
          <w:szCs w:val="24"/>
          <w:highlight w:val="white"/>
        </w:rPr>
        <w:t xml:space="preserve"> dei dati personali forniti dai soggetti coinvolti e/o interessati a vario titolo alle iniziative finanziate nell’ambito del Piano Nazionale di Ripresa e Resilienza.</w:t>
      </w:r>
    </w:p>
    <w:p w14:paraId="61ED83FE" w14:textId="77777777" w:rsidR="00AD7EF8" w:rsidRPr="009019B0" w:rsidRDefault="00AD7EF8" w:rsidP="00AD7EF8">
      <w:pPr>
        <w:spacing w:before="240" w:after="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xml:space="preserve">Ai sensi della DGR n. 596 del 8 maggio 2021, Delegato al trattamento è il Dirigente della Direzione Formazione e Istruzione, dott. Massimo Marzano Bernardi  (Palazzo Grandi Stazioni - Fondamenta Santa Lucia, </w:t>
      </w:r>
      <w:proofErr w:type="spellStart"/>
      <w:r w:rsidRPr="009019B0">
        <w:rPr>
          <w:rFonts w:ascii="Garamond" w:eastAsia="Garamond" w:hAnsi="Garamond" w:cs="Garamond"/>
          <w:color w:val="000000" w:themeColor="text1"/>
          <w:sz w:val="24"/>
          <w:szCs w:val="24"/>
          <w:highlight w:val="white"/>
        </w:rPr>
        <w:t>Cannaregio</w:t>
      </w:r>
      <w:proofErr w:type="spellEnd"/>
      <w:r w:rsidRPr="009019B0">
        <w:rPr>
          <w:rFonts w:ascii="Garamond" w:eastAsia="Garamond" w:hAnsi="Garamond" w:cs="Garamond"/>
          <w:color w:val="000000" w:themeColor="text1"/>
          <w:sz w:val="24"/>
          <w:szCs w:val="24"/>
          <w:highlight w:val="white"/>
        </w:rPr>
        <w:t xml:space="preserve">, 23 - 30121 Venezia (VE) -  Tel. 041/2795013-5019-5031-5094-5325 – Fax 041/2795085 e-mail: </w:t>
      </w:r>
      <w:hyperlink r:id="rId9">
        <w:r w:rsidRPr="009019B0">
          <w:rPr>
            <w:rFonts w:ascii="Garamond" w:eastAsia="Garamond" w:hAnsi="Garamond" w:cs="Garamond"/>
            <w:color w:val="000000" w:themeColor="text1"/>
            <w:sz w:val="24"/>
            <w:szCs w:val="24"/>
            <w:highlight w:val="white"/>
          </w:rPr>
          <w:t>formazioneistruzione@regione.veneto.it</w:t>
        </w:r>
      </w:hyperlink>
      <w:r w:rsidRPr="009019B0">
        <w:rPr>
          <w:rFonts w:ascii="Garamond" w:eastAsia="Garamond" w:hAnsi="Garamond" w:cs="Garamond"/>
          <w:color w:val="000000" w:themeColor="text1"/>
          <w:sz w:val="24"/>
          <w:szCs w:val="24"/>
          <w:highlight w:val="white"/>
        </w:rPr>
        <w:t xml:space="preserve"> , PEC: </w:t>
      </w:r>
      <w:hyperlink r:id="rId10">
        <w:r w:rsidRPr="009019B0">
          <w:rPr>
            <w:rFonts w:ascii="Garamond" w:eastAsia="Garamond" w:hAnsi="Garamond" w:cs="Garamond"/>
            <w:color w:val="000000" w:themeColor="text1"/>
            <w:sz w:val="24"/>
            <w:szCs w:val="24"/>
            <w:highlight w:val="white"/>
          </w:rPr>
          <w:t>formazioneistruzione@pec.regione.veneto.it</w:t>
        </w:r>
      </w:hyperlink>
      <w:r w:rsidRPr="009019B0">
        <w:rPr>
          <w:rFonts w:ascii="Garamond" w:eastAsia="Garamond" w:hAnsi="Garamond" w:cs="Garamond"/>
          <w:color w:val="000000" w:themeColor="text1"/>
          <w:sz w:val="24"/>
          <w:szCs w:val="24"/>
          <w:highlight w:val="white"/>
        </w:rPr>
        <w:t xml:space="preserve"> pagina istituzionale: https://www.regione.veneto.it/privacy</w:t>
      </w:r>
    </w:p>
    <w:p w14:paraId="6FED8CE0" w14:textId="77777777" w:rsidR="00AD7EF8" w:rsidRPr="009019B0" w:rsidRDefault="00AD7EF8" w:rsidP="00AD7EF8">
      <w:pPr>
        <w:spacing w:before="240" w:after="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074269E9" w14:textId="77777777" w:rsidR="00AD7EF8" w:rsidRPr="009019B0" w:rsidRDefault="00AD7EF8" w:rsidP="00AD7EF8">
      <w:pPr>
        <w:spacing w:before="240" w:after="0" w:line="360"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 xml:space="preserve"> </w:t>
      </w:r>
    </w:p>
    <w:p w14:paraId="19E5BEED" w14:textId="77777777" w:rsidR="00AD7EF8" w:rsidRPr="009019B0" w:rsidRDefault="00AD7EF8" w:rsidP="00AD7EF8">
      <w:pPr>
        <w:pBdr>
          <w:top w:val="nil"/>
          <w:left w:val="nil"/>
          <w:bottom w:val="nil"/>
          <w:right w:val="nil"/>
          <w:between w:val="nil"/>
        </w:pBdr>
        <w:rPr>
          <w:rFonts w:ascii="Garamond" w:eastAsia="Garamond" w:hAnsi="Garamond" w:cs="Garamond"/>
          <w:b/>
          <w:color w:val="000000" w:themeColor="text1"/>
          <w:sz w:val="24"/>
          <w:szCs w:val="24"/>
          <w:highlight w:val="white"/>
        </w:rPr>
      </w:pPr>
      <w:r w:rsidRPr="009019B0">
        <w:rPr>
          <w:rFonts w:ascii="Garamond" w:eastAsia="Garamond" w:hAnsi="Garamond" w:cs="Garamond"/>
          <w:b/>
          <w:color w:val="000000" w:themeColor="text1"/>
          <w:sz w:val="24"/>
          <w:szCs w:val="24"/>
          <w:highlight w:val="white"/>
        </w:rPr>
        <w:t>4. Modalità del trattamento ed ambito di diffusione dei dati trasmessi</w:t>
      </w:r>
    </w:p>
    <w:p w14:paraId="1DDA552E" w14:textId="77777777" w:rsidR="00AD7EF8" w:rsidRPr="009019B0" w:rsidRDefault="00AD7EF8" w:rsidP="00AD7EF8">
      <w:pPr>
        <w:pBdr>
          <w:top w:val="nil"/>
          <w:left w:val="nil"/>
          <w:bottom w:val="nil"/>
          <w:right w:val="nil"/>
          <w:between w:val="nil"/>
        </w:pBdr>
        <w:spacing w:before="240" w:after="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5C027956" w14:textId="77777777" w:rsidR="00AD7EF8" w:rsidRPr="009019B0" w:rsidRDefault="00AD7EF8" w:rsidP="00AD7EF8">
      <w:pPr>
        <w:pBdr>
          <w:top w:val="nil"/>
          <w:left w:val="nil"/>
          <w:bottom w:val="nil"/>
          <w:right w:val="nil"/>
          <w:between w:val="nil"/>
        </w:pBdr>
        <w:spacing w:before="240" w:after="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65F5B7D9" w14:textId="77777777" w:rsidR="00AD7EF8" w:rsidRPr="009019B0" w:rsidRDefault="00AD7EF8" w:rsidP="00AD7EF8">
      <w:pPr>
        <w:spacing w:after="0" w:line="276" w:lineRule="auto"/>
        <w:ind w:left="720"/>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t xml:space="preserve"> </w:t>
      </w: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1020"/>
        <w:gridCol w:w="8790"/>
      </w:tblGrid>
      <w:tr w:rsidR="00AD7EF8" w:rsidRPr="009019B0" w14:paraId="3FD2D727" w14:textId="77777777" w:rsidTr="00302CCC">
        <w:trPr>
          <w:trHeight w:val="8030"/>
        </w:trPr>
        <w:tc>
          <w:tcPr>
            <w:tcW w:w="1020" w:type="dxa"/>
            <w:tcBorders>
              <w:top w:val="nil"/>
              <w:left w:val="nil"/>
              <w:bottom w:val="nil"/>
              <w:right w:val="nil"/>
            </w:tcBorders>
            <w:shd w:val="clear" w:color="auto" w:fill="4F81BD"/>
            <w:tcMar>
              <w:top w:w="100" w:type="dxa"/>
              <w:left w:w="100" w:type="dxa"/>
              <w:bottom w:w="100" w:type="dxa"/>
              <w:right w:w="100" w:type="dxa"/>
            </w:tcMar>
          </w:tcPr>
          <w:p w14:paraId="1E9AF758" w14:textId="77777777" w:rsidR="00AD7EF8" w:rsidRPr="009019B0" w:rsidRDefault="00AD7EF8" w:rsidP="00302CCC">
            <w:pPr>
              <w:spacing w:line="276" w:lineRule="auto"/>
              <w:jc w:val="both"/>
              <w:rPr>
                <w:b/>
                <w:smallCaps/>
                <w:color w:val="000000" w:themeColor="text1"/>
                <w:highlight w:val="white"/>
              </w:rPr>
            </w:pPr>
          </w:p>
        </w:tc>
        <w:tc>
          <w:tcPr>
            <w:tcW w:w="8790" w:type="dxa"/>
            <w:tcBorders>
              <w:top w:val="nil"/>
              <w:left w:val="nil"/>
              <w:bottom w:val="nil"/>
              <w:right w:val="nil"/>
            </w:tcBorders>
            <w:shd w:val="clear" w:color="auto" w:fill="4F81BD"/>
            <w:tcMar>
              <w:top w:w="100" w:type="dxa"/>
              <w:left w:w="100" w:type="dxa"/>
              <w:bottom w:w="100" w:type="dxa"/>
              <w:right w:w="100" w:type="dxa"/>
            </w:tcMar>
          </w:tcPr>
          <w:p w14:paraId="3A0FB9F2" w14:textId="77777777" w:rsidR="00AD7EF8" w:rsidRPr="009019B0" w:rsidRDefault="00AD7EF8" w:rsidP="00302CCC">
            <w:pPr>
              <w:spacing w:line="276" w:lineRule="auto"/>
              <w:ind w:left="220" w:right="320"/>
              <w:jc w:val="center"/>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Regolamento (UE) 2021/241</w:t>
            </w:r>
          </w:p>
          <w:p w14:paraId="085D3DA1" w14:textId="77777777" w:rsidR="00AD7EF8" w:rsidRPr="009019B0" w:rsidRDefault="00AD7EF8" w:rsidP="00302CCC">
            <w:pPr>
              <w:spacing w:before="240" w:after="240" w:line="276" w:lineRule="auto"/>
              <w:ind w:right="320"/>
              <w:jc w:val="center"/>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Art. 22 “</w:t>
            </w:r>
            <w:r w:rsidRPr="009019B0">
              <w:rPr>
                <w:rFonts w:ascii="Garamond" w:eastAsia="Garamond" w:hAnsi="Garamond" w:cs="Garamond"/>
                <w:b/>
                <w:i/>
                <w:smallCaps/>
                <w:color w:val="000000" w:themeColor="text1"/>
                <w:highlight w:val="white"/>
              </w:rPr>
              <w:t>Tutela degli interessi finanziari dell'Unione</w:t>
            </w:r>
            <w:r w:rsidRPr="009019B0">
              <w:rPr>
                <w:rFonts w:ascii="Garamond" w:eastAsia="Garamond" w:hAnsi="Garamond" w:cs="Garamond"/>
                <w:b/>
                <w:smallCaps/>
                <w:color w:val="000000" w:themeColor="text1"/>
                <w:highlight w:val="white"/>
              </w:rPr>
              <w:t>”</w:t>
            </w:r>
          </w:p>
          <w:p w14:paraId="7C11EC40" w14:textId="77777777" w:rsidR="00AD7EF8" w:rsidRPr="009019B0" w:rsidRDefault="00AD7EF8" w:rsidP="00302CCC">
            <w:pPr>
              <w:spacing w:before="120" w:after="120" w:line="276" w:lineRule="auto"/>
              <w:ind w:right="320"/>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Paragrafo 2) </w:t>
            </w:r>
            <w:proofErr w:type="spellStart"/>
            <w:r w:rsidRPr="009019B0">
              <w:rPr>
                <w:rFonts w:ascii="Garamond" w:eastAsia="Garamond" w:hAnsi="Garamond" w:cs="Garamond"/>
                <w:b/>
                <w:smallCaps/>
                <w:color w:val="000000" w:themeColor="text1"/>
                <w:highlight w:val="white"/>
              </w:rPr>
              <w:t>lett</w:t>
            </w:r>
            <w:proofErr w:type="spellEnd"/>
            <w:r w:rsidRPr="009019B0">
              <w:rPr>
                <w:rFonts w:ascii="Garamond" w:eastAsia="Garamond" w:hAnsi="Garamond" w:cs="Garamond"/>
                <w:b/>
                <w:smallCaps/>
                <w:color w:val="000000" w:themeColor="text1"/>
                <w:highlight w:val="white"/>
              </w:rPr>
              <w:t xml:space="preserve"> d)</w:t>
            </w:r>
          </w:p>
          <w:p w14:paraId="56A15E3E" w14:textId="77777777" w:rsidR="00AD7EF8" w:rsidRPr="009019B0" w:rsidRDefault="00AD7EF8" w:rsidP="00302CCC">
            <w:pPr>
              <w:spacing w:before="120" w:after="120" w:line="276" w:lineRule="auto"/>
              <w:ind w:left="220" w:right="320"/>
              <w:jc w:val="both"/>
              <w:rPr>
                <w:rFonts w:ascii="Garamond" w:eastAsia="Garamond" w:hAnsi="Garamond" w:cs="Garamond"/>
                <w:b/>
                <w:i/>
                <w:smallCaps/>
                <w:color w:val="000000" w:themeColor="text1"/>
                <w:sz w:val="21"/>
                <w:szCs w:val="21"/>
                <w:highlight w:val="white"/>
              </w:rPr>
            </w:pPr>
            <w:r w:rsidRPr="009019B0">
              <w:rPr>
                <w:rFonts w:ascii="Garamond" w:eastAsia="Garamond" w:hAnsi="Garamond" w:cs="Garamond"/>
                <w:b/>
                <w:i/>
                <w:smallCaps/>
                <w:color w:val="000000" w:themeColor="text1"/>
                <w:sz w:val="21"/>
                <w:szCs w:val="21"/>
                <w:highlight w:val="white"/>
              </w:rPr>
              <w:t>“</w:t>
            </w:r>
            <w:r w:rsidRPr="009019B0">
              <w:rPr>
                <w:rFonts w:ascii="Garamond" w:eastAsia="Garamond" w:hAnsi="Garamond" w:cs="Garamond"/>
                <w:color w:val="000000" w:themeColor="text1"/>
                <w:sz w:val="24"/>
                <w:szCs w:val="24"/>
                <w:highlight w:val="white"/>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07A94845" w14:textId="77777777" w:rsidR="00AD7EF8" w:rsidRPr="009019B0" w:rsidRDefault="00AD7EF8" w:rsidP="00302CCC">
            <w:pPr>
              <w:spacing w:after="0" w:line="240" w:lineRule="auto"/>
              <w:ind w:left="1133" w:hanging="425"/>
              <w:jc w:val="both"/>
              <w:rPr>
                <w:rFonts w:ascii="Garamond" w:eastAsia="Garamond" w:hAnsi="Garamond" w:cs="Garamond"/>
                <w:color w:val="000000" w:themeColor="text1"/>
                <w:sz w:val="24"/>
                <w:szCs w:val="24"/>
                <w:highlight w:val="white"/>
              </w:rPr>
            </w:pPr>
            <w:r w:rsidRPr="009019B0">
              <w:rPr>
                <w:color w:val="000000" w:themeColor="text1"/>
                <w:highlight w:val="white"/>
              </w:rPr>
              <w:t xml:space="preserve">i)   </w:t>
            </w:r>
            <w:r w:rsidRPr="009019B0">
              <w:rPr>
                <w:rFonts w:ascii="Garamond" w:eastAsia="Garamond" w:hAnsi="Garamond" w:cs="Garamond"/>
                <w:color w:val="000000" w:themeColor="text1"/>
                <w:sz w:val="24"/>
                <w:szCs w:val="24"/>
                <w:highlight w:val="white"/>
              </w:rPr>
              <w:t xml:space="preserve">   il nome del destinatario finale dei fondi;</w:t>
            </w:r>
          </w:p>
          <w:p w14:paraId="04462715" w14:textId="77777777" w:rsidR="00AD7EF8" w:rsidRPr="009019B0" w:rsidRDefault="00AD7EF8" w:rsidP="00302CCC">
            <w:pPr>
              <w:spacing w:after="0" w:line="240" w:lineRule="auto"/>
              <w:ind w:left="1133" w:hanging="425"/>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ii)     il nome dell'appaltatore e del subappaltatore, ove il destinatario finale dei fondi sia un'amministrazione aggiudicatrice ai sensi delle disposizioni nazionali o dell'Unione in materia di appalti pubblici;</w:t>
            </w:r>
          </w:p>
          <w:p w14:paraId="125603F5" w14:textId="77777777" w:rsidR="00AD7EF8" w:rsidRPr="009019B0" w:rsidRDefault="00AD7EF8" w:rsidP="00302CCC">
            <w:pPr>
              <w:spacing w:after="0" w:line="240" w:lineRule="auto"/>
              <w:ind w:left="1133" w:hanging="425"/>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iii)   il/i nome/i, il/i cognome/i e la data di nascita del/dei titolare/i effettivo/i del destinatario dei fondi o appaltatore, ai sensi dell'articolo 3, punto 6, della direttiva (UE) 2015/849 del Parlamento europeo e del Consiglio;</w:t>
            </w:r>
          </w:p>
          <w:p w14:paraId="08E291BE" w14:textId="77777777" w:rsidR="00AD7EF8" w:rsidRPr="009019B0" w:rsidRDefault="00AD7EF8" w:rsidP="00302CCC">
            <w:pPr>
              <w:spacing w:after="0" w:line="240" w:lineRule="auto"/>
              <w:ind w:left="1133" w:hanging="425"/>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iv)</w:t>
            </w:r>
            <w:r w:rsidRPr="009019B0">
              <w:rPr>
                <w:rFonts w:ascii="Garamond" w:eastAsia="Garamond" w:hAnsi="Garamond" w:cs="Garamond"/>
                <w:color w:val="000000" w:themeColor="text1"/>
                <w:sz w:val="24"/>
                <w:szCs w:val="24"/>
                <w:highlight w:val="white"/>
              </w:rPr>
              <w:tab/>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76FDE14A" w14:textId="77777777" w:rsidR="00AD7EF8" w:rsidRPr="009019B0" w:rsidRDefault="00AD7EF8" w:rsidP="00302CCC">
            <w:pPr>
              <w:spacing w:before="120" w:after="120" w:line="276" w:lineRule="auto"/>
              <w:ind w:right="320"/>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Paragrafo 3)</w:t>
            </w:r>
          </w:p>
          <w:p w14:paraId="04B8C7BA" w14:textId="77777777" w:rsidR="00AD7EF8" w:rsidRPr="009019B0" w:rsidRDefault="00AD7EF8" w:rsidP="00302CCC">
            <w:pPr>
              <w:pBdr>
                <w:top w:val="nil"/>
                <w:left w:val="nil"/>
                <w:bottom w:val="nil"/>
                <w:right w:val="nil"/>
                <w:between w:val="nil"/>
              </w:pBdr>
              <w:spacing w:before="240" w:after="240" w:line="256" w:lineRule="auto"/>
              <w:ind w:left="340"/>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p>
        </w:tc>
      </w:tr>
    </w:tbl>
    <w:p w14:paraId="1694CFEF" w14:textId="77777777" w:rsidR="00AD7EF8" w:rsidRPr="009019B0" w:rsidRDefault="00AD7EF8" w:rsidP="00AD7EF8">
      <w:pPr>
        <w:spacing w:before="240" w:after="240" w:line="276"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 </w:t>
      </w:r>
    </w:p>
    <w:p w14:paraId="65F9B25A" w14:textId="77777777" w:rsidR="00AD7EF8" w:rsidRPr="009019B0" w:rsidRDefault="00AD7EF8" w:rsidP="00AD7EF8">
      <w:pPr>
        <w:spacing w:before="240" w:after="240" w:line="27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color w:val="000000" w:themeColor="text1"/>
          <w:sz w:val="24"/>
          <w:szCs w:val="24"/>
          <w:highlight w:val="white"/>
        </w:rPr>
        <w:t>5. Base giuridica del trattamento</w:t>
      </w:r>
    </w:p>
    <w:p w14:paraId="373C1F2E" w14:textId="77777777" w:rsidR="00AD7EF8" w:rsidRPr="009019B0" w:rsidRDefault="00AD7EF8" w:rsidP="00AD7EF8">
      <w:pP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1885048D" w14:textId="77777777" w:rsidR="00AD7EF8" w:rsidRPr="009019B0" w:rsidRDefault="00AD7EF8" w:rsidP="00AD7EF8">
      <w:pPr>
        <w:spacing w:before="240" w:after="0" w:line="27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smallCaps/>
          <w:color w:val="000000" w:themeColor="text1"/>
          <w:sz w:val="24"/>
          <w:szCs w:val="24"/>
          <w:highlight w:val="white"/>
        </w:rPr>
        <w:lastRenderedPageBreak/>
        <w:t xml:space="preserve"> </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AD7EF8" w:rsidRPr="009019B0" w14:paraId="687264CC" w14:textId="77777777" w:rsidTr="00302CCC">
        <w:trPr>
          <w:trHeight w:val="2570"/>
        </w:trPr>
        <w:tc>
          <w:tcPr>
            <w:tcW w:w="855" w:type="dxa"/>
            <w:tcBorders>
              <w:top w:val="nil"/>
              <w:left w:val="nil"/>
              <w:bottom w:val="nil"/>
              <w:right w:val="nil"/>
            </w:tcBorders>
            <w:shd w:val="clear" w:color="auto" w:fill="4F81BD"/>
            <w:tcMar>
              <w:top w:w="100" w:type="dxa"/>
              <w:left w:w="100" w:type="dxa"/>
              <w:bottom w:w="100" w:type="dxa"/>
              <w:right w:w="100" w:type="dxa"/>
            </w:tcMar>
          </w:tcPr>
          <w:p w14:paraId="420C4AB9" w14:textId="77777777" w:rsidR="00AD7EF8" w:rsidRPr="009019B0" w:rsidRDefault="00AD7EF8" w:rsidP="00302CCC">
            <w:pPr>
              <w:spacing w:line="276" w:lineRule="auto"/>
              <w:jc w:val="both"/>
              <w:rPr>
                <w:b/>
                <w:smallCaps/>
                <w:color w:val="000000" w:themeColor="text1"/>
                <w:highlight w:val="white"/>
              </w:rPr>
            </w:pPr>
            <w:r w:rsidRPr="009019B0">
              <w:rPr>
                <w:b/>
                <w:smallCaps/>
                <w:noProof/>
                <w:color w:val="000000" w:themeColor="text1"/>
                <w:highlight w:val="white"/>
              </w:rPr>
              <w:drawing>
                <wp:inline distT="114300" distB="114300" distL="114300" distR="114300" wp14:anchorId="096D0A3A" wp14:editId="372E04F9">
                  <wp:extent cx="409575" cy="406400"/>
                  <wp:effectExtent l="0" t="0" r="0" b="0"/>
                  <wp:docPr id="12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6C9B6934"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xml:space="preserve">D. Lgs 196/2003 e </w:t>
            </w:r>
            <w:proofErr w:type="spellStart"/>
            <w:r w:rsidRPr="009019B0">
              <w:rPr>
                <w:rFonts w:ascii="Garamond" w:eastAsia="Garamond" w:hAnsi="Garamond" w:cs="Garamond"/>
                <w:color w:val="000000" w:themeColor="text1"/>
                <w:sz w:val="24"/>
                <w:szCs w:val="24"/>
                <w:highlight w:val="white"/>
              </w:rPr>
              <w:t>s.m.i.</w:t>
            </w:r>
            <w:proofErr w:type="spellEnd"/>
            <w:r w:rsidRPr="009019B0">
              <w:rPr>
                <w:rFonts w:ascii="Garamond" w:eastAsia="Garamond" w:hAnsi="Garamond" w:cs="Garamond"/>
                <w:color w:val="000000" w:themeColor="text1"/>
                <w:sz w:val="24"/>
                <w:szCs w:val="24"/>
                <w:highlight w:val="white"/>
              </w:rPr>
              <w:t>, art. 2-sexies - Trattamento di categorie particolari di dati personali necessario per motivi di interesse pubblico rilevante:</w:t>
            </w:r>
          </w:p>
          <w:p w14:paraId="211FF378"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si considera rilevante l’interesse pubblico relativo a trattamenti effettuati da soggetti che svolgono compiti di interesse pubblico o connessi all’esercizio di pubblici poteri nelle seguenti materie:</w:t>
            </w:r>
          </w:p>
          <w:p w14:paraId="61CBF492" w14:textId="77777777" w:rsidR="00AD7EF8" w:rsidRPr="009019B0" w:rsidRDefault="00AD7EF8" w:rsidP="00302CCC">
            <w:pPr>
              <w:spacing w:after="0" w:line="240"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m) concessione, liquidazione, modifica e revoca di benefici economici, agevolazioni, elargizioni, altri emolumenti e abilitazioni.</w:t>
            </w:r>
          </w:p>
        </w:tc>
      </w:tr>
    </w:tbl>
    <w:p w14:paraId="0791C532" w14:textId="77777777" w:rsidR="00AD7EF8" w:rsidRPr="009019B0" w:rsidRDefault="00AD7EF8" w:rsidP="00AD7EF8">
      <w:pPr>
        <w:spacing w:before="120" w:after="120" w:line="276"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 </w:t>
      </w:r>
    </w:p>
    <w:p w14:paraId="7E46D5E5" w14:textId="77777777" w:rsidR="00AD7EF8" w:rsidRPr="009019B0" w:rsidRDefault="00AD7EF8" w:rsidP="00AD7EF8">
      <w:pPr>
        <w:spacing w:before="120" w:after="120" w:line="276" w:lineRule="auto"/>
        <w:jc w:val="both"/>
        <w:rPr>
          <w:rFonts w:ascii="Garamond" w:eastAsia="Garamond" w:hAnsi="Garamond" w:cs="Garamond"/>
          <w:b/>
          <w:smallCaps/>
          <w:color w:val="000000" w:themeColor="text1"/>
          <w:sz w:val="24"/>
          <w:szCs w:val="24"/>
          <w:highlight w:val="white"/>
        </w:rPr>
      </w:pPr>
      <w:r w:rsidRPr="009019B0">
        <w:rPr>
          <w:rFonts w:ascii="Garamond" w:eastAsia="Garamond" w:hAnsi="Garamond" w:cs="Garamond"/>
          <w:b/>
          <w:color w:val="000000" w:themeColor="text1"/>
          <w:sz w:val="24"/>
          <w:szCs w:val="24"/>
          <w:highlight w:val="white"/>
        </w:rPr>
        <w:t>Base giuridica per la pubblicazione e diffusione web</w:t>
      </w:r>
    </w:p>
    <w:p w14:paraId="7E889E02"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Si illustrano di seguito alcuni obblighi di pubblicazione disciplinati dal d.lgs. 33/2013, tenendo conto delle principali modifiche e integrazioni introdotte dal d.lgs. 97/2016.</w:t>
      </w:r>
    </w:p>
    <w:p w14:paraId="5A22C19D"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Ai sensi dell’art 26 del D.L.</w:t>
      </w:r>
      <w:hyperlink r:id="rId11">
        <w:r w:rsidRPr="009019B0">
          <w:rPr>
            <w:rFonts w:ascii="Garamond" w:eastAsia="Garamond" w:hAnsi="Garamond" w:cs="Garamond"/>
            <w:color w:val="000000" w:themeColor="text1"/>
            <w:sz w:val="24"/>
            <w:szCs w:val="24"/>
            <w:highlight w:val="white"/>
          </w:rPr>
          <w:t xml:space="preserve"> </w:t>
        </w:r>
      </w:hyperlink>
      <w:hyperlink r:id="rId12">
        <w:r w:rsidRPr="009019B0">
          <w:rPr>
            <w:rFonts w:ascii="Garamond" w:eastAsia="Garamond" w:hAnsi="Garamond" w:cs="Garamond"/>
            <w:color w:val="000000" w:themeColor="text1"/>
            <w:sz w:val="24"/>
            <w:szCs w:val="24"/>
            <w:highlight w:val="white"/>
          </w:rPr>
          <w:t>14 marzo 2013, n. 33</w:t>
        </w:r>
      </w:hyperlink>
      <w:r w:rsidRPr="009019B0">
        <w:rPr>
          <w:rFonts w:ascii="Garamond" w:eastAsia="Garamond" w:hAnsi="Garamond" w:cs="Garamond"/>
          <w:color w:val="000000" w:themeColor="text1"/>
          <w:sz w:val="24"/>
          <w:szCs w:val="24"/>
          <w:highlight w:val="white"/>
        </w:rPr>
        <w:t xml:space="preserve"> (come modificato dall’art. 23 del </w:t>
      </w:r>
      <w:proofErr w:type="spellStart"/>
      <w:r w:rsidRPr="009019B0">
        <w:rPr>
          <w:rFonts w:ascii="Garamond" w:eastAsia="Garamond" w:hAnsi="Garamond" w:cs="Garamond"/>
          <w:color w:val="000000" w:themeColor="text1"/>
          <w:sz w:val="24"/>
          <w:szCs w:val="24"/>
          <w:highlight w:val="white"/>
        </w:rPr>
        <w:t>D.Lgs.</w:t>
      </w:r>
      <w:proofErr w:type="spellEnd"/>
      <w:r w:rsidRPr="009019B0">
        <w:rPr>
          <w:rFonts w:ascii="Garamond" w:eastAsia="Garamond" w:hAnsi="Garamond" w:cs="Garamond"/>
          <w:color w:val="000000" w:themeColor="text1"/>
          <w:sz w:val="24"/>
          <w:szCs w:val="24"/>
          <w:highlight w:val="white"/>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026A8CDD"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Ai sensi del comma 3 del medesimo articolo, la pubblicazione costituisce condizione legale di efficacia dei provvedimenti e quindi deve avvenire tempestivamente e, comunque, prima della liquidazione delle somme oggetto del provvedimento.</w:t>
      </w:r>
    </w:p>
    <w:p w14:paraId="4CAAB22E" w14:textId="77777777" w:rsidR="00AD7EF8" w:rsidRPr="009019B0" w:rsidRDefault="00AD7EF8" w:rsidP="00AD7EF8">
      <w:pPr>
        <w:spacing w:before="120" w:after="120" w:line="276"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 </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AD7EF8" w:rsidRPr="009019B0" w14:paraId="0B4EB239" w14:textId="77777777" w:rsidTr="00302CCC">
        <w:trPr>
          <w:trHeight w:val="6995"/>
        </w:trPr>
        <w:tc>
          <w:tcPr>
            <w:tcW w:w="855" w:type="dxa"/>
            <w:tcBorders>
              <w:top w:val="nil"/>
              <w:left w:val="nil"/>
              <w:bottom w:val="nil"/>
              <w:right w:val="nil"/>
            </w:tcBorders>
            <w:shd w:val="clear" w:color="auto" w:fill="4F81BD"/>
            <w:tcMar>
              <w:top w:w="100" w:type="dxa"/>
              <w:left w:w="100" w:type="dxa"/>
              <w:bottom w:w="100" w:type="dxa"/>
              <w:right w:w="100" w:type="dxa"/>
            </w:tcMar>
          </w:tcPr>
          <w:p w14:paraId="4B827BE2" w14:textId="77777777" w:rsidR="00AD7EF8" w:rsidRPr="009019B0" w:rsidRDefault="00AD7EF8" w:rsidP="00302CCC">
            <w:pPr>
              <w:spacing w:line="276" w:lineRule="auto"/>
              <w:jc w:val="both"/>
              <w:rPr>
                <w:b/>
                <w:smallCaps/>
                <w:color w:val="000000" w:themeColor="text1"/>
                <w:highlight w:val="white"/>
              </w:rPr>
            </w:pPr>
            <w:r w:rsidRPr="009019B0">
              <w:rPr>
                <w:b/>
                <w:smallCaps/>
                <w:noProof/>
                <w:color w:val="000000" w:themeColor="text1"/>
                <w:highlight w:val="white"/>
              </w:rPr>
              <w:lastRenderedPageBreak/>
              <w:drawing>
                <wp:inline distT="114300" distB="114300" distL="114300" distR="114300" wp14:anchorId="7B819D3E" wp14:editId="367A5D18">
                  <wp:extent cx="409575" cy="419100"/>
                  <wp:effectExtent l="0" t="0" r="0" b="0"/>
                  <wp:docPr id="12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409575" cy="4191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67D77088" w14:textId="77777777" w:rsidR="00AD7EF8" w:rsidRPr="009019B0" w:rsidRDefault="00AD7EF8" w:rsidP="00302CCC">
            <w:pPr>
              <w:spacing w:after="0" w:line="276" w:lineRule="auto"/>
              <w:jc w:val="both"/>
              <w:rPr>
                <w:rFonts w:ascii="Garamond" w:eastAsia="Garamond" w:hAnsi="Garamond" w:cs="Garamond"/>
                <w:color w:val="000000" w:themeColor="text1"/>
                <w:highlight w:val="white"/>
              </w:rPr>
            </w:pPr>
            <w:r w:rsidRPr="009019B0">
              <w:rPr>
                <w:rFonts w:ascii="Garamond" w:eastAsia="Garamond" w:hAnsi="Garamond" w:cs="Garamond"/>
                <w:color w:val="000000" w:themeColor="text1"/>
                <w:highlight w:val="white"/>
              </w:rPr>
              <w:t>D.L.</w:t>
            </w:r>
            <w:hyperlink r:id="rId14">
              <w:r w:rsidRPr="009019B0">
                <w:rPr>
                  <w:rFonts w:ascii="Garamond" w:eastAsia="Garamond" w:hAnsi="Garamond" w:cs="Garamond"/>
                  <w:color w:val="000000" w:themeColor="text1"/>
                  <w:highlight w:val="white"/>
                  <w:u w:val="single"/>
                </w:rPr>
                <w:t xml:space="preserve"> 14 marzo 2013, n. 33</w:t>
              </w:r>
            </w:hyperlink>
            <w:r w:rsidRPr="009019B0">
              <w:rPr>
                <w:rFonts w:ascii="Garamond" w:eastAsia="Garamond" w:hAnsi="Garamond" w:cs="Garamond"/>
                <w:color w:val="000000" w:themeColor="text1"/>
                <w:highlight w:val="white"/>
              </w:rPr>
              <w:t>, art. 26 Obblighi di pubblicazione degli atti di concessione di sovvenzioni, contributi, sussidi e attribuzione di vantaggi economici a persone fisiche ed enti pubblici e privati (come modificato dall’art. 23 del D.lgs. n. 97/2016)</w:t>
            </w:r>
          </w:p>
          <w:p w14:paraId="4F04ECAB" w14:textId="77777777" w:rsidR="00AD7EF8" w:rsidRPr="009019B0" w:rsidRDefault="00AD7EF8" w:rsidP="00302CCC">
            <w:pPr>
              <w:spacing w:after="0" w:line="276" w:lineRule="auto"/>
              <w:jc w:val="both"/>
              <w:rPr>
                <w:rFonts w:ascii="Garamond" w:eastAsia="Garamond" w:hAnsi="Garamond" w:cs="Garamond"/>
                <w:color w:val="000000" w:themeColor="text1"/>
                <w:highlight w:val="white"/>
              </w:rPr>
            </w:pPr>
            <w:r w:rsidRPr="009019B0">
              <w:rPr>
                <w:rFonts w:ascii="Garamond" w:eastAsia="Garamond" w:hAnsi="Garamond" w:cs="Garamond"/>
                <w:color w:val="000000" w:themeColor="text1"/>
                <w:highlight w:val="white"/>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14:paraId="0AF83F1B" w14:textId="77777777" w:rsidR="00AD7EF8" w:rsidRPr="009019B0" w:rsidRDefault="00AD7EF8" w:rsidP="00302CCC">
            <w:pPr>
              <w:spacing w:after="0" w:line="276" w:lineRule="auto"/>
              <w:jc w:val="both"/>
              <w:rPr>
                <w:rFonts w:ascii="Garamond" w:eastAsia="Garamond" w:hAnsi="Garamond" w:cs="Garamond"/>
                <w:color w:val="000000" w:themeColor="text1"/>
                <w:highlight w:val="white"/>
              </w:rPr>
            </w:pPr>
            <w:r w:rsidRPr="009019B0">
              <w:rPr>
                <w:rFonts w:ascii="Garamond" w:eastAsia="Garamond" w:hAnsi="Garamond" w:cs="Garamond"/>
                <w:color w:val="000000" w:themeColor="text1"/>
                <w:highlight w:val="white"/>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7099A042" w14:textId="77777777" w:rsidR="00AD7EF8" w:rsidRPr="009019B0" w:rsidRDefault="00AD7EF8" w:rsidP="00302CCC">
            <w:pPr>
              <w:spacing w:after="0" w:line="276" w:lineRule="auto"/>
              <w:jc w:val="both"/>
              <w:rPr>
                <w:rFonts w:ascii="Garamond" w:eastAsia="Garamond" w:hAnsi="Garamond" w:cs="Garamond"/>
                <w:color w:val="000000" w:themeColor="text1"/>
                <w:highlight w:val="white"/>
              </w:rPr>
            </w:pPr>
            <w:r w:rsidRPr="009019B0">
              <w:rPr>
                <w:rFonts w:ascii="Garamond" w:eastAsia="Garamond" w:hAnsi="Garamond" w:cs="Garamond"/>
                <w:color w:val="000000" w:themeColor="text1"/>
                <w:highlight w:val="white"/>
              </w:rPr>
              <w:t>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14:paraId="50A5FFAF" w14:textId="77777777" w:rsidR="00AD7EF8" w:rsidRPr="009019B0" w:rsidRDefault="00AD7EF8" w:rsidP="00302CCC">
            <w:pPr>
              <w:spacing w:after="0" w:line="276" w:lineRule="auto"/>
              <w:jc w:val="both"/>
              <w:rPr>
                <w:rFonts w:ascii="Garamond" w:eastAsia="Garamond" w:hAnsi="Garamond" w:cs="Garamond"/>
                <w:color w:val="000000" w:themeColor="text1"/>
                <w:highlight w:val="white"/>
              </w:rPr>
            </w:pPr>
            <w:r w:rsidRPr="009019B0">
              <w:rPr>
                <w:rFonts w:ascii="Garamond" w:eastAsia="Garamond" w:hAnsi="Garamond" w:cs="Garamond"/>
                <w:color w:val="000000" w:themeColor="text1"/>
                <w:highlight w:val="white"/>
              </w:rPr>
              <w:t xml:space="preserve">4. </w:t>
            </w:r>
            <w:proofErr w:type="gramStart"/>
            <w:r w:rsidRPr="009019B0">
              <w:rPr>
                <w:rFonts w:ascii="Garamond" w:eastAsia="Garamond" w:hAnsi="Garamond" w:cs="Garamond"/>
                <w:color w:val="000000" w:themeColor="text1"/>
                <w:highlight w:val="white"/>
              </w:rPr>
              <w:t>E'</w:t>
            </w:r>
            <w:proofErr w:type="gramEnd"/>
            <w:r w:rsidRPr="009019B0">
              <w:rPr>
                <w:rFonts w:ascii="Garamond" w:eastAsia="Garamond" w:hAnsi="Garamond" w:cs="Garamond"/>
                <w:color w:val="000000" w:themeColor="text1"/>
                <w:highlight w:val="white"/>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tc>
      </w:tr>
    </w:tbl>
    <w:p w14:paraId="6517D96C" w14:textId="77777777" w:rsidR="00AD7EF8" w:rsidRPr="009019B0" w:rsidRDefault="00AD7EF8" w:rsidP="00AD7EF8">
      <w:pPr>
        <w:spacing w:before="120" w:after="120" w:line="276"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 </w:t>
      </w:r>
    </w:p>
    <w:p w14:paraId="5EFCDE39"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b/>
          <w:color w:val="000000" w:themeColor="text1"/>
          <w:sz w:val="24"/>
          <w:szCs w:val="24"/>
          <w:highlight w:val="white"/>
        </w:rPr>
      </w:pPr>
      <w:r w:rsidRPr="009019B0">
        <w:rPr>
          <w:rFonts w:ascii="Garamond" w:eastAsia="Garamond" w:hAnsi="Garamond" w:cs="Garamond"/>
          <w:b/>
          <w:color w:val="000000" w:themeColor="text1"/>
          <w:sz w:val="24"/>
          <w:szCs w:val="24"/>
          <w:highlight w:val="white"/>
        </w:rPr>
        <w:t>Pubblicazione di dati personali ulteriori</w:t>
      </w:r>
    </w:p>
    <w:p w14:paraId="25E61051"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w:t>
      </w:r>
      <w:proofErr w:type="gramStart"/>
      <w:r w:rsidRPr="009019B0">
        <w:rPr>
          <w:rFonts w:ascii="Garamond" w:eastAsia="Garamond" w:hAnsi="Garamond" w:cs="Garamond"/>
          <w:color w:val="000000" w:themeColor="text1"/>
          <w:sz w:val="24"/>
          <w:szCs w:val="24"/>
          <w:highlight w:val="white"/>
        </w:rPr>
        <w:t>assenza  di</w:t>
      </w:r>
      <w:proofErr w:type="gramEnd"/>
      <w:r w:rsidRPr="009019B0">
        <w:rPr>
          <w:rFonts w:ascii="Garamond" w:eastAsia="Garamond" w:hAnsi="Garamond" w:cs="Garamond"/>
          <w:color w:val="000000" w:themeColor="text1"/>
          <w:sz w:val="24"/>
          <w:szCs w:val="24"/>
          <w:highlight w:val="white"/>
        </w:rPr>
        <w:t xml:space="preserve"> una specifica previsione di legge o regolamento, procedendo alla indicazione in forma anonima dei dati personali eventualmente presenti.</w:t>
      </w:r>
    </w:p>
    <w:tbl>
      <w:tblPr>
        <w:tblW w:w="9525" w:type="dxa"/>
        <w:tblBorders>
          <w:top w:val="nil"/>
          <w:left w:val="nil"/>
          <w:bottom w:val="nil"/>
          <w:right w:val="nil"/>
          <w:insideH w:val="nil"/>
          <w:insideV w:val="nil"/>
        </w:tblBorders>
        <w:tblLayout w:type="fixed"/>
        <w:tblLook w:val="0600" w:firstRow="0" w:lastRow="0" w:firstColumn="0" w:lastColumn="0" w:noHBand="1" w:noVBand="1"/>
      </w:tblPr>
      <w:tblGrid>
        <w:gridCol w:w="1815"/>
        <w:gridCol w:w="7710"/>
      </w:tblGrid>
      <w:tr w:rsidR="00AD7EF8" w:rsidRPr="009019B0" w14:paraId="0B40EFF3" w14:textId="77777777" w:rsidTr="00302CCC">
        <w:trPr>
          <w:trHeight w:val="905"/>
        </w:trPr>
        <w:tc>
          <w:tcPr>
            <w:tcW w:w="1815" w:type="dxa"/>
            <w:tcBorders>
              <w:top w:val="nil"/>
              <w:left w:val="nil"/>
              <w:bottom w:val="nil"/>
              <w:right w:val="nil"/>
            </w:tcBorders>
            <w:shd w:val="clear" w:color="auto" w:fill="4472C4"/>
            <w:tcMar>
              <w:top w:w="100" w:type="dxa"/>
              <w:left w:w="100" w:type="dxa"/>
              <w:bottom w:w="100" w:type="dxa"/>
              <w:right w:w="100" w:type="dxa"/>
            </w:tcMar>
          </w:tcPr>
          <w:p w14:paraId="060CC494" w14:textId="77777777" w:rsidR="00AD7EF8" w:rsidRPr="009019B0" w:rsidRDefault="00AD7EF8" w:rsidP="00302CCC">
            <w:pPr>
              <w:spacing w:before="240" w:after="240" w:line="276" w:lineRule="auto"/>
              <w:jc w:val="both"/>
              <w:rPr>
                <w:rFonts w:ascii="Garamond" w:eastAsia="Garamond" w:hAnsi="Garamond" w:cs="Garamond"/>
                <w:b/>
                <w:smallCaps/>
                <w:color w:val="000000" w:themeColor="text1"/>
                <w:sz w:val="26"/>
                <w:szCs w:val="26"/>
                <w:highlight w:val="white"/>
              </w:rPr>
            </w:pPr>
            <w:r w:rsidRPr="009019B0">
              <w:rPr>
                <w:rFonts w:ascii="Garamond" w:eastAsia="Garamond" w:hAnsi="Garamond" w:cs="Garamond"/>
                <w:b/>
                <w:smallCaps/>
                <w:color w:val="000000" w:themeColor="text1"/>
                <w:sz w:val="26"/>
                <w:szCs w:val="26"/>
                <w:highlight w:val="white"/>
              </w:rPr>
              <w:t xml:space="preserve"> </w:t>
            </w:r>
            <w:r w:rsidRPr="009019B0">
              <w:rPr>
                <w:rFonts w:ascii="Garamond" w:eastAsia="Garamond" w:hAnsi="Garamond" w:cs="Garamond"/>
                <w:b/>
                <w:smallCaps/>
                <w:noProof/>
                <w:color w:val="000000" w:themeColor="text1"/>
                <w:sz w:val="26"/>
                <w:szCs w:val="26"/>
                <w:highlight w:val="white"/>
              </w:rPr>
              <w:drawing>
                <wp:inline distT="114300" distB="114300" distL="114300" distR="114300" wp14:anchorId="0F522814" wp14:editId="5DD8503F">
                  <wp:extent cx="462606" cy="454490"/>
                  <wp:effectExtent l="0" t="0" r="0" b="0"/>
                  <wp:docPr id="12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62606" cy="454490"/>
                          </a:xfrm>
                          <a:prstGeom prst="rect">
                            <a:avLst/>
                          </a:prstGeom>
                          <a:ln/>
                        </pic:spPr>
                      </pic:pic>
                    </a:graphicData>
                  </a:graphic>
                </wp:inline>
              </w:drawing>
            </w:r>
          </w:p>
        </w:tc>
        <w:tc>
          <w:tcPr>
            <w:tcW w:w="7710" w:type="dxa"/>
            <w:tcBorders>
              <w:top w:val="nil"/>
              <w:left w:val="nil"/>
              <w:bottom w:val="nil"/>
              <w:right w:val="nil"/>
            </w:tcBorders>
            <w:shd w:val="clear" w:color="auto" w:fill="4472C4"/>
            <w:tcMar>
              <w:top w:w="100" w:type="dxa"/>
              <w:left w:w="100" w:type="dxa"/>
              <w:bottom w:w="100" w:type="dxa"/>
              <w:right w:w="100" w:type="dxa"/>
            </w:tcMar>
          </w:tcPr>
          <w:p w14:paraId="32DE0A61" w14:textId="77777777" w:rsidR="00AD7EF8" w:rsidRPr="009019B0" w:rsidRDefault="00AD7EF8" w:rsidP="00302CCC">
            <w:pPr>
              <w:spacing w:before="120" w:after="120" w:line="276" w:lineRule="auto"/>
              <w:ind w:left="-620"/>
              <w:jc w:val="center"/>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Limiti al “</w:t>
            </w:r>
            <w:proofErr w:type="gramStart"/>
            <w:r w:rsidRPr="009019B0">
              <w:rPr>
                <w:rFonts w:ascii="Garamond" w:eastAsia="Garamond" w:hAnsi="Garamond" w:cs="Garamond"/>
                <w:b/>
                <w:smallCaps/>
                <w:color w:val="000000" w:themeColor="text1"/>
                <w:highlight w:val="white"/>
              </w:rPr>
              <w:t>riutilizzo”  dei</w:t>
            </w:r>
            <w:proofErr w:type="gramEnd"/>
            <w:r w:rsidRPr="009019B0">
              <w:rPr>
                <w:rFonts w:ascii="Garamond" w:eastAsia="Garamond" w:hAnsi="Garamond" w:cs="Garamond"/>
                <w:b/>
                <w:smallCaps/>
                <w:color w:val="000000" w:themeColor="text1"/>
                <w:highlight w:val="white"/>
              </w:rPr>
              <w:t xml:space="preserve"> documenti pubblicati</w:t>
            </w:r>
          </w:p>
        </w:tc>
      </w:tr>
      <w:tr w:rsidR="00AD7EF8" w:rsidRPr="009019B0" w14:paraId="60FCA869" w14:textId="77777777" w:rsidTr="00302CCC">
        <w:trPr>
          <w:trHeight w:val="1985"/>
        </w:trPr>
        <w:tc>
          <w:tcPr>
            <w:tcW w:w="9525" w:type="dxa"/>
            <w:gridSpan w:val="2"/>
            <w:tcBorders>
              <w:top w:val="nil"/>
              <w:left w:val="nil"/>
              <w:bottom w:val="single" w:sz="8" w:space="0" w:color="1F3864"/>
              <w:right w:val="nil"/>
            </w:tcBorders>
            <w:tcMar>
              <w:top w:w="100" w:type="dxa"/>
              <w:left w:w="100" w:type="dxa"/>
              <w:bottom w:w="100" w:type="dxa"/>
              <w:right w:w="100" w:type="dxa"/>
            </w:tcMar>
          </w:tcPr>
          <w:p w14:paraId="55420668" w14:textId="77777777" w:rsidR="00AD7EF8" w:rsidRPr="009019B0" w:rsidRDefault="00AD7EF8" w:rsidP="00302CCC">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xml:space="preserve">In ottemperanza a quanto disposto dal Garante per la protezione dei dati personali, i soggetti pubblici inseriscono nella sezione "Amministrazione trasparente" un </w:t>
            </w:r>
            <w:proofErr w:type="spellStart"/>
            <w:r w:rsidRPr="009019B0">
              <w:rPr>
                <w:rFonts w:ascii="Garamond" w:eastAsia="Garamond" w:hAnsi="Garamond" w:cs="Garamond"/>
                <w:color w:val="000000" w:themeColor="text1"/>
                <w:sz w:val="24"/>
                <w:szCs w:val="24"/>
                <w:highlight w:val="white"/>
              </w:rPr>
              <w:t>alert</w:t>
            </w:r>
            <w:proofErr w:type="spellEnd"/>
            <w:r w:rsidRPr="009019B0">
              <w:rPr>
                <w:rFonts w:ascii="Garamond" w:eastAsia="Garamond" w:hAnsi="Garamond" w:cs="Garamond"/>
                <w:color w:val="000000" w:themeColor="text1"/>
                <w:sz w:val="24"/>
                <w:szCs w:val="24"/>
                <w:highlight w:val="white"/>
              </w:rPr>
              <w:t xml:space="preserve">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tc>
      </w:tr>
    </w:tbl>
    <w:p w14:paraId="57D59BCF" w14:textId="77777777" w:rsidR="00AD7EF8" w:rsidRPr="009019B0" w:rsidRDefault="00AD7EF8" w:rsidP="00AD7EF8">
      <w:pPr>
        <w:spacing w:before="240" w:after="0" w:line="360" w:lineRule="auto"/>
        <w:jc w:val="both"/>
        <w:rPr>
          <w:rFonts w:ascii="Garamond" w:eastAsia="Garamond" w:hAnsi="Garamond" w:cs="Garamond"/>
          <w:b/>
          <w:smallCaps/>
          <w:color w:val="000000" w:themeColor="text1"/>
          <w:sz w:val="16"/>
          <w:szCs w:val="16"/>
          <w:highlight w:val="white"/>
        </w:rPr>
      </w:pPr>
      <w:r w:rsidRPr="009019B0">
        <w:rPr>
          <w:rFonts w:ascii="Garamond" w:eastAsia="Garamond" w:hAnsi="Garamond" w:cs="Garamond"/>
          <w:b/>
          <w:smallCaps/>
          <w:color w:val="000000" w:themeColor="text1"/>
          <w:sz w:val="16"/>
          <w:szCs w:val="16"/>
          <w:highlight w:val="white"/>
        </w:rPr>
        <w:lastRenderedPageBreak/>
        <w:t xml:space="preserve"> </w:t>
      </w:r>
    </w:p>
    <w:p w14:paraId="38C741F8" w14:textId="77777777" w:rsidR="00AD7EF8" w:rsidRPr="009019B0" w:rsidRDefault="00AD7EF8" w:rsidP="00AD7EF8">
      <w:pPr>
        <w:spacing w:before="240" w:after="0" w:line="360" w:lineRule="auto"/>
        <w:jc w:val="both"/>
        <w:rPr>
          <w:rFonts w:ascii="Garamond" w:eastAsia="Garamond" w:hAnsi="Garamond" w:cs="Garamond"/>
          <w:b/>
          <w:color w:val="000000" w:themeColor="text1"/>
          <w:sz w:val="24"/>
          <w:szCs w:val="24"/>
          <w:highlight w:val="white"/>
        </w:rPr>
      </w:pPr>
      <w:r w:rsidRPr="009019B0">
        <w:rPr>
          <w:rFonts w:ascii="Garamond" w:eastAsia="Garamond" w:hAnsi="Garamond" w:cs="Garamond"/>
          <w:b/>
          <w:color w:val="000000" w:themeColor="text1"/>
          <w:sz w:val="24"/>
          <w:szCs w:val="24"/>
          <w:highlight w:val="white"/>
        </w:rPr>
        <w:t>7. Tempo di conservazione dei dati</w:t>
      </w:r>
    </w:p>
    <w:p w14:paraId="4F3AA4E7"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17D51BA5" w14:textId="77777777" w:rsidR="00AD7EF8" w:rsidRPr="009019B0" w:rsidRDefault="00AD7EF8" w:rsidP="00AD7EF8">
      <w:pPr>
        <w:pBdr>
          <w:top w:val="nil"/>
          <w:left w:val="nil"/>
          <w:bottom w:val="nil"/>
          <w:right w:val="nil"/>
          <w:between w:val="nil"/>
        </w:pBdr>
        <w:spacing w:before="240" w:after="0" w:line="360" w:lineRule="auto"/>
        <w:jc w:val="both"/>
        <w:rPr>
          <w:rFonts w:ascii="Garamond" w:eastAsia="Garamond" w:hAnsi="Garamond" w:cs="Garamond"/>
          <w:b/>
          <w:color w:val="000000" w:themeColor="text1"/>
          <w:sz w:val="24"/>
          <w:szCs w:val="24"/>
          <w:highlight w:val="white"/>
        </w:rPr>
      </w:pPr>
      <w:r w:rsidRPr="009019B0">
        <w:rPr>
          <w:rFonts w:ascii="Garamond" w:eastAsia="Garamond" w:hAnsi="Garamond" w:cs="Garamond"/>
          <w:b/>
          <w:color w:val="000000" w:themeColor="text1"/>
          <w:sz w:val="24"/>
          <w:szCs w:val="24"/>
          <w:highlight w:val="white"/>
        </w:rPr>
        <w:t>8. Luogo del Trattamento</w:t>
      </w:r>
    </w:p>
    <w:p w14:paraId="659247BB"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 xml:space="preserve">I dati vengono trattati ed archiviati presso la sede del CED della Direzione ICT e Agenda </w:t>
      </w:r>
      <w:proofErr w:type="gramStart"/>
      <w:r w:rsidRPr="009019B0">
        <w:rPr>
          <w:rFonts w:ascii="Garamond" w:eastAsia="Garamond" w:hAnsi="Garamond" w:cs="Garamond"/>
          <w:color w:val="000000" w:themeColor="text1"/>
          <w:sz w:val="24"/>
          <w:szCs w:val="24"/>
          <w:highlight w:val="white"/>
        </w:rPr>
        <w:t>Digitale  sita</w:t>
      </w:r>
      <w:proofErr w:type="gramEnd"/>
      <w:r w:rsidRPr="009019B0">
        <w:rPr>
          <w:rFonts w:ascii="Garamond" w:eastAsia="Garamond" w:hAnsi="Garamond" w:cs="Garamond"/>
          <w:color w:val="000000" w:themeColor="text1"/>
          <w:sz w:val="24"/>
          <w:szCs w:val="24"/>
          <w:highlight w:val="white"/>
        </w:rPr>
        <w:t xml:space="preserve"> in Centro Vega - Palazzo Lybra, Via Pacinotti 4 - 30175 Marghera - Tel. 041 279.2202-2204 - e-mail: ictagendadigitale@regione.veneto.it - PEC: ictagendadigitale@pec.regione.veneto.it )</w:t>
      </w:r>
    </w:p>
    <w:p w14:paraId="37D6B304"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Specifiche misure di sicurezza sono osservate per prevenire la perdita dei dati, usi illeciti o non corretti e accessi non autorizzati.</w:t>
      </w:r>
    </w:p>
    <w:p w14:paraId="429E7160" w14:textId="77777777" w:rsidR="00AD7EF8" w:rsidRPr="009019B0" w:rsidRDefault="00AD7EF8" w:rsidP="00AD7EF8">
      <w:pPr>
        <w:spacing w:before="240" w:after="120" w:line="276"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 </w:t>
      </w:r>
    </w:p>
    <w:p w14:paraId="5370504F"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b/>
          <w:color w:val="000000" w:themeColor="text1"/>
          <w:sz w:val="24"/>
          <w:szCs w:val="24"/>
          <w:highlight w:val="white"/>
        </w:rPr>
      </w:pPr>
      <w:r w:rsidRPr="009019B0">
        <w:rPr>
          <w:rFonts w:ascii="Garamond" w:eastAsia="Garamond" w:hAnsi="Garamond" w:cs="Garamond"/>
          <w:b/>
          <w:color w:val="000000" w:themeColor="text1"/>
          <w:sz w:val="24"/>
          <w:szCs w:val="24"/>
          <w:highlight w:val="white"/>
        </w:rPr>
        <w:t>Dichiarazione di presa visione dell’informativa sul conferimento e trattamento dei dati personali</w:t>
      </w:r>
    </w:p>
    <w:p w14:paraId="16C5B7C6" w14:textId="77777777" w:rsidR="00AD7EF8" w:rsidRPr="009019B0" w:rsidRDefault="00AD7EF8" w:rsidP="00AD7EF8">
      <w:pPr>
        <w:spacing w:before="240" w:after="120" w:line="276" w:lineRule="auto"/>
        <w:jc w:val="both"/>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 xml:space="preserve"> </w:t>
      </w:r>
    </w:p>
    <w:p w14:paraId="3A27EEF0"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14:paraId="29063605" w14:textId="77777777" w:rsidR="00AD7EF8" w:rsidRPr="009019B0" w:rsidRDefault="00AD7EF8" w:rsidP="00AD7EF8">
      <w:pPr>
        <w:pBdr>
          <w:top w:val="nil"/>
          <w:left w:val="nil"/>
          <w:bottom w:val="nil"/>
          <w:right w:val="nil"/>
          <w:between w:val="nil"/>
        </w:pBdr>
        <w:spacing w:before="240" w:after="240" w:line="276" w:lineRule="auto"/>
        <w:jc w:val="center"/>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DICHIARA</w:t>
      </w:r>
    </w:p>
    <w:p w14:paraId="6E532692" w14:textId="77777777" w:rsidR="00AD7EF8" w:rsidRPr="009019B0" w:rsidRDefault="00AD7EF8" w:rsidP="00AD7EF8">
      <w:pPr>
        <w:pBdr>
          <w:top w:val="nil"/>
          <w:left w:val="nil"/>
          <w:bottom w:val="nil"/>
          <w:right w:val="nil"/>
          <w:between w:val="nil"/>
        </w:pBdr>
        <w:spacing w:before="240" w:after="240" w:line="276" w:lineRule="auto"/>
        <w:jc w:val="both"/>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di essere stato adeguatamente informato riguardo al trattamento dei propri dati personali per i fini indicati nella stessa.</w:t>
      </w:r>
    </w:p>
    <w:p w14:paraId="06FB9731" w14:textId="77777777" w:rsidR="00AD7EF8" w:rsidRPr="009019B0" w:rsidRDefault="00AD7EF8" w:rsidP="00AD7EF8">
      <w:pPr>
        <w:pBdr>
          <w:top w:val="nil"/>
          <w:left w:val="nil"/>
          <w:bottom w:val="nil"/>
          <w:right w:val="nil"/>
          <w:between w:val="nil"/>
        </w:pBdr>
        <w:spacing w:before="240" w:after="240" w:line="276" w:lineRule="auto"/>
        <w:jc w:val="center"/>
        <w:rPr>
          <w:rFonts w:ascii="Garamond" w:eastAsia="Garamond" w:hAnsi="Garamond" w:cs="Garamond"/>
          <w:color w:val="000000" w:themeColor="text1"/>
          <w:sz w:val="24"/>
          <w:szCs w:val="24"/>
          <w:highlight w:val="white"/>
        </w:rPr>
      </w:pPr>
      <w:r w:rsidRPr="009019B0">
        <w:rPr>
          <w:rFonts w:ascii="Garamond" w:eastAsia="Garamond" w:hAnsi="Garamond" w:cs="Garamond"/>
          <w:color w:val="000000" w:themeColor="text1"/>
          <w:sz w:val="24"/>
          <w:szCs w:val="24"/>
          <w:highlight w:val="white"/>
        </w:rPr>
        <w:t>Firma del dichiarante</w:t>
      </w:r>
    </w:p>
    <w:p w14:paraId="7CE3F8DB" w14:textId="77777777" w:rsidR="00AD7EF8" w:rsidRPr="009019B0" w:rsidRDefault="00AD7EF8" w:rsidP="00AD7EF8">
      <w:pPr>
        <w:spacing w:line="276" w:lineRule="auto"/>
        <w:jc w:val="center"/>
        <w:rPr>
          <w:rFonts w:ascii="Garamond" w:eastAsia="Garamond" w:hAnsi="Garamond" w:cs="Garamond"/>
          <w:b/>
          <w:smallCaps/>
          <w:color w:val="000000" w:themeColor="text1"/>
          <w:highlight w:val="white"/>
        </w:rPr>
      </w:pPr>
      <w:r w:rsidRPr="009019B0">
        <w:rPr>
          <w:rFonts w:ascii="Garamond" w:eastAsia="Garamond" w:hAnsi="Garamond" w:cs="Garamond"/>
          <w:b/>
          <w:smallCaps/>
          <w:color w:val="000000" w:themeColor="text1"/>
          <w:highlight w:val="white"/>
        </w:rPr>
        <w:t>____________________</w:t>
      </w:r>
    </w:p>
    <w:p w14:paraId="50CEE364" w14:textId="77777777" w:rsidR="00AD7EF8" w:rsidRPr="009019B0" w:rsidRDefault="00AD7EF8" w:rsidP="00AD7EF8">
      <w:pPr>
        <w:pStyle w:val="Titolo3"/>
        <w:tabs>
          <w:tab w:val="left" w:pos="1134"/>
        </w:tabs>
        <w:spacing w:before="280" w:after="80" w:line="240" w:lineRule="auto"/>
        <w:ind w:hanging="2"/>
        <w:jc w:val="both"/>
        <w:rPr>
          <w:rFonts w:ascii="Times New Roman" w:eastAsia="Times New Roman" w:hAnsi="Times New Roman" w:cs="Times New Roman"/>
          <w:smallCaps/>
          <w:color w:val="000000" w:themeColor="text1"/>
          <w:sz w:val="16"/>
          <w:szCs w:val="16"/>
          <w:highlight w:val="white"/>
        </w:rPr>
      </w:pPr>
      <w:bookmarkStart w:id="0" w:name="_heading=h.afvmg0d22xaq" w:colFirst="0" w:colLast="0"/>
      <w:bookmarkEnd w:id="0"/>
    </w:p>
    <w:p w14:paraId="606B79D8" w14:textId="77777777" w:rsidR="002C5496" w:rsidRDefault="00AD7EF8">
      <w:bookmarkStart w:id="1" w:name="_GoBack"/>
      <w:bookmarkEnd w:id="1"/>
    </w:p>
    <w:sectPr w:rsidR="002C54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D4F4" w14:textId="77777777" w:rsidR="00AD7EF8" w:rsidRDefault="00AD7EF8" w:rsidP="00AD7EF8">
      <w:pPr>
        <w:spacing w:after="0" w:line="240" w:lineRule="auto"/>
      </w:pPr>
      <w:r>
        <w:separator/>
      </w:r>
    </w:p>
  </w:endnote>
  <w:endnote w:type="continuationSeparator" w:id="0">
    <w:p w14:paraId="38C06220" w14:textId="77777777" w:rsidR="00AD7EF8" w:rsidRDefault="00AD7EF8" w:rsidP="00AD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5FC78" w14:textId="77777777" w:rsidR="00AD7EF8" w:rsidRDefault="00AD7EF8" w:rsidP="00AD7EF8">
      <w:pPr>
        <w:spacing w:after="0" w:line="240" w:lineRule="auto"/>
      </w:pPr>
      <w:r>
        <w:separator/>
      </w:r>
    </w:p>
  </w:footnote>
  <w:footnote w:type="continuationSeparator" w:id="0">
    <w:p w14:paraId="65C29D4F" w14:textId="77777777" w:rsidR="00AD7EF8" w:rsidRDefault="00AD7EF8" w:rsidP="00AD7EF8">
      <w:pPr>
        <w:spacing w:after="0" w:line="240" w:lineRule="auto"/>
      </w:pPr>
      <w:r>
        <w:continuationSeparator/>
      </w:r>
    </w:p>
  </w:footnote>
  <w:footnote w:id="1">
    <w:p w14:paraId="4E8B5794" w14:textId="77777777" w:rsidR="00AD7EF8" w:rsidRDefault="00AD7EF8" w:rsidP="00AD7EF8">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34"/>
          <w:szCs w:val="34"/>
          <w:vertAlign w:val="superscript"/>
        </w:rPr>
        <w:t xml:space="preserve"> </w:t>
      </w:r>
      <w:r>
        <w:rPr>
          <w:rFonts w:ascii="Times New Roman" w:eastAsia="Times New Roman" w:hAnsi="Times New Roman" w:cs="Times New Roman"/>
          <w:sz w:val="16"/>
          <w:szCs w:val="16"/>
        </w:rPr>
        <w:t>Il Titolare del trattamento è "</w:t>
      </w:r>
      <w:r>
        <w:rPr>
          <w:rFonts w:ascii="Times New Roman" w:eastAsia="Times New Roman" w:hAnsi="Times New Roman" w:cs="Times New Roman"/>
          <w:i/>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sz w:val="16"/>
          <w:szCs w:val="16"/>
        </w:rPr>
        <w:t>finalità</w:t>
      </w:r>
      <w:r>
        <w:rPr>
          <w:rFonts w:ascii="Times New Roman" w:eastAsia="Times New Roman" w:hAnsi="Times New Roman" w:cs="Times New Roman"/>
          <w:i/>
          <w:sz w:val="16"/>
          <w:szCs w:val="16"/>
        </w:rPr>
        <w:t xml:space="preserve"> e i </w:t>
      </w:r>
      <w:r>
        <w:rPr>
          <w:rFonts w:ascii="Times New Roman" w:eastAsia="Times New Roman" w:hAnsi="Times New Roman" w:cs="Times New Roman"/>
          <w:sz w:val="16"/>
          <w:szCs w:val="16"/>
        </w:rPr>
        <w:t>mezzi</w:t>
      </w:r>
      <w:r>
        <w:rPr>
          <w:rFonts w:ascii="Times New Roman" w:eastAsia="Times New Roman" w:hAnsi="Times New Roman" w:cs="Times New Roman"/>
          <w:i/>
          <w:sz w:val="16"/>
          <w:szCs w:val="16"/>
        </w:rPr>
        <w:t xml:space="preserve"> del trattamento di dati personali</w:t>
      </w:r>
      <w:r>
        <w:rPr>
          <w:rFonts w:ascii="Times New Roman" w:eastAsia="Times New Roman" w:hAnsi="Times New Roman" w:cs="Times New Roman"/>
          <w:sz w:val="16"/>
          <w:szCs w:val="16"/>
        </w:rPr>
        <w:t>" (art. 4. par. 1, n. 7) Regolamento Generale sulla Protezione dei Dati (GDPR).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A3"/>
    <w:rsid w:val="002E04A3"/>
    <w:rsid w:val="006C587D"/>
    <w:rsid w:val="00AD7EF8"/>
    <w:rsid w:val="00E1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4CAA3-BFE2-4289-96D4-151E3A0B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D7EF8"/>
    <w:rPr>
      <w:rFonts w:ascii="Calibri" w:eastAsia="Calibri" w:hAnsi="Calibri" w:cs="Calibri"/>
      <w:lang w:eastAsia="it-IT"/>
    </w:rPr>
  </w:style>
  <w:style w:type="paragraph" w:styleId="Titolo1">
    <w:name w:val="heading 1"/>
    <w:basedOn w:val="Normale"/>
    <w:next w:val="Normale"/>
    <w:link w:val="Titolo1Carattere"/>
    <w:uiPriority w:val="9"/>
    <w:qFormat/>
    <w:rsid w:val="00AD7E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AD7E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EF8"/>
    <w:rPr>
      <w:rFonts w:asciiTheme="majorHAnsi" w:eastAsiaTheme="majorEastAsia" w:hAnsiTheme="majorHAnsi" w:cstheme="majorBidi"/>
      <w:color w:val="2F5496" w:themeColor="accent1" w:themeShade="BF"/>
      <w:sz w:val="32"/>
      <w:szCs w:val="32"/>
      <w:lang w:eastAsia="it-IT"/>
    </w:rPr>
  </w:style>
  <w:style w:type="character" w:customStyle="1" w:styleId="Titolo3Carattere">
    <w:name w:val="Titolo 3 Carattere"/>
    <w:basedOn w:val="Carpredefinitoparagrafo"/>
    <w:link w:val="Titolo3"/>
    <w:uiPriority w:val="9"/>
    <w:rsid w:val="00AD7EF8"/>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5_0124.htm"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bosettiegatti.eu/info/norme/statali/2012_0190.htm" TargetMode="External"/><Relationship Id="rId12" Type="http://schemas.openxmlformats.org/officeDocument/2006/relationships/hyperlink" Target="https://www.bosettiegatti.eu/info/norme/statali/2013_0033.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osettiegatti.eu/info/norme/statali/2013_0033.htm" TargetMode="Externa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yperlink" Target="mailto:formazioneistruzione@pec.regione.veneto.it" TargetMode="External"/><Relationship Id="rId4" Type="http://schemas.openxmlformats.org/officeDocument/2006/relationships/footnotes" Target="footnotes.xml"/><Relationship Id="rId9" Type="http://schemas.openxmlformats.org/officeDocument/2006/relationships/hyperlink" Target="mailto:formazioneistruzione@regione.veneto.it" TargetMode="External"/><Relationship Id="rId14" Type="http://schemas.openxmlformats.org/officeDocument/2006/relationships/hyperlink" Target="https://www.bosettiegatti.eu/info/norme/statali/2013_0033.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3088</Words>
  <Characters>17602</Characters>
  <Application>Microsoft Office Word</Application>
  <DocSecurity>0</DocSecurity>
  <Lines>146</Lines>
  <Paragraphs>41</Paragraphs>
  <ScaleCrop>false</ScaleCrop>
  <Company>Regione del Veneto</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Lentini</dc:creator>
  <cp:keywords/>
  <dc:description/>
  <cp:lastModifiedBy>Elisa Lentini</cp:lastModifiedBy>
  <cp:revision>2</cp:revision>
  <dcterms:created xsi:type="dcterms:W3CDTF">2022-06-30T11:16:00Z</dcterms:created>
  <dcterms:modified xsi:type="dcterms:W3CDTF">2022-06-30T11:16:00Z</dcterms:modified>
</cp:coreProperties>
</file>