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IL LEGALE RAPPRESENTANTE ED EVENTUALE PROCURATORE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000000" w:rsidDel="00000000" w:rsidP="00000000" w:rsidRDefault="00000000" w:rsidRPr="00000000" w14:paraId="00000003">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 presentazione della domanda di partecipazione;</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pStyle w:val="Heading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0">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1">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w:t>
      </w:r>
    </w:p>
    <w:p w:rsidR="00000000" w:rsidDel="00000000" w:rsidP="00000000" w:rsidRDefault="00000000" w:rsidRPr="00000000" w14:paraId="00000012">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9"/>
        <w:gridCol w:w="1658"/>
        <w:gridCol w:w="1890"/>
        <w:gridCol w:w="1699"/>
        <w:gridCol w:w="1824"/>
        <w:tblGridChange w:id="0">
          <w:tblGrid>
            <w:gridCol w:w="2449"/>
            <w:gridCol w:w="1658"/>
            <w:gridCol w:w="1890"/>
            <w:gridCol w:w="1699"/>
            <w:gridCol w:w="1824"/>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0" w:hRule="atLeast"/>
          <w:tblHeader w:val="0"/>
        </w:trPr>
        <w:tc>
          <w:tcPr>
            <w:shd w:fill="auto" w:val="clea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0" w:hRule="atLeast"/>
          <w:tblHeader w:val="0"/>
        </w:trPr>
        <w:tc>
          <w:tcPr>
            <w:shd w:fill="auto"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che sottoscrive la domanda di partecipazione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6">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sono state emesse</w:t>
      </w:r>
      <w:r w:rsidDel="00000000" w:rsidR="00000000" w:rsidRPr="00000000">
        <w:rPr>
          <w:rFonts w:ascii="Times New Roman" w:cs="Times New Roman" w:eastAsia="Times New Roman" w:hAnsi="Times New Roman"/>
          <w:sz w:val="22"/>
          <w:szCs w:val="22"/>
          <w:highlight w:val="white"/>
          <w:rtl w:val="0"/>
        </w:rPr>
        <w:t xml:space="preserv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7">
      <w:pPr>
        <w:ind w:left="284"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8">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norma giuridica violata: _________________________________________________________;</w:t>
      </w:r>
    </w:p>
    <w:p w:rsidR="00000000" w:rsidDel="00000000" w:rsidP="00000000" w:rsidRDefault="00000000" w:rsidRPr="00000000" w14:paraId="00000029">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A">
      <w:pPr>
        <w:ind w:firstLine="284"/>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anno della condanna _______________________________________ (</w:t>
      </w:r>
      <w:r w:rsidDel="00000000" w:rsidR="00000000" w:rsidRPr="00000000">
        <w:rPr>
          <w:rFonts w:ascii="Times New Roman" w:cs="Times New Roman" w:eastAsia="Times New Roman" w:hAnsi="Times New Roman"/>
          <w:b w:val="1"/>
          <w:sz w:val="22"/>
          <w:szCs w:val="22"/>
          <w:highlight w:val="white"/>
          <w:rtl w:val="0"/>
        </w:rPr>
        <w:t xml:space="preserve">*</w:t>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2B">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C">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2D">
      <w:pPr>
        <w:numPr>
          <w:ilvl w:val="0"/>
          <w:numId w:val="1"/>
        </w:numPr>
        <w:spacing w:before="80" w:lineRule="auto"/>
        <w:ind w:left="714" w:hanging="357"/>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3">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firstLine="708"/>
        <w:jc w:val="both"/>
        <w:rPr>
          <w:rFonts w:ascii="Times New Roman" w:cs="Times New Roman" w:eastAsia="Times New Roman" w:hAnsi="Times New Roman"/>
          <w:sz w:val="22"/>
          <w:szCs w:val="22"/>
        </w:rPr>
      </w:pPr>
      <w:sdt>
        <w:sdtPr>
          <w:tag w:val="goog_rdk_0"/>
        </w:sdtPr>
        <w:sdtContent>
          <w:r w:rsidDel="00000000" w:rsidR="00000000" w:rsidRPr="00000000">
            <w:rPr>
              <w:rFonts w:ascii="Nova Mono" w:cs="Nova Mono" w:eastAsia="Nova Mono" w:hAnsi="Nova Mono"/>
              <w:sz w:val="22"/>
              <w:szCs w:val="22"/>
              <w:rtl w:val="0"/>
            </w:rPr>
            <w:t xml:space="preserve">⬜ datore di lavoro (</w:t>
          </w:r>
        </w:sdtContent>
      </w:sdt>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sz w:val="22"/>
          <w:szCs w:val="22"/>
        </w:rPr>
      </w:pPr>
      <w:sdt>
        <w:sdtPr>
          <w:tag w:val="goog_rdk_1"/>
        </w:sdtPr>
        <w:sdtContent>
          <w:r w:rsidDel="00000000" w:rsidR="00000000" w:rsidRPr="00000000">
            <w:rPr>
              <w:rFonts w:ascii="Nova Mono" w:cs="Nova Mono" w:eastAsia="Nova Mono" w:hAnsi="Nova Mono"/>
              <w:sz w:val="22"/>
              <w:szCs w:val="22"/>
              <w:rtl w:val="0"/>
            </w:rPr>
            <w:t xml:space="preserve">⬜ gestione separata (</w:t>
          </w:r>
        </w:sdtContent>
      </w:sdt>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47">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8">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9">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tabs>
          <w:tab w:val="center"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w:t>
      </w:r>
    </w:p>
    <w:p w:rsidR="00000000" w:rsidDel="00000000" w:rsidP="00000000" w:rsidRDefault="00000000" w:rsidRPr="00000000" w14:paraId="0000004C">
      <w:pPr>
        <w:tabs>
          <w:tab w:val="center" w:pos="8505"/>
        </w:tabs>
        <w:spacing w:line="260" w:lineRule="auto"/>
        <w:ind w:left="623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4D">
      <w:pPr>
        <w:pStyle w:val="Heading1"/>
        <w:ind w:left="4536"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________________________________</w:t>
      </w:r>
    </w:p>
    <w:p w:rsidR="00000000" w:rsidDel="00000000" w:rsidP="00000000" w:rsidRDefault="00000000" w:rsidRPr="00000000" w14:paraId="0000004E">
      <w:pPr>
        <w:ind w:left="4956" w:firstLine="431.00000000000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(indicare nome e cognome del firmatario)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superscript"/>
        </w:rPr>
        <w:footnoteReference w:customMarkFollows="0" w:id="7"/>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4F">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dell’intervento di cui all’Avviso e alla Direttiva approvati con DGR n. 1320 del 25 ottobre 2022, a valere  </w:t>
      </w:r>
      <w:r w:rsidDel="00000000" w:rsidR="00000000" w:rsidRPr="00000000">
        <w:rPr>
          <w:rFonts w:ascii="Times New Roman" w:cs="Times New Roman" w:eastAsia="Times New Roman" w:hAnsi="Times New Roman"/>
          <w:sz w:val="22"/>
          <w:szCs w:val="22"/>
          <w:highlight w:val="white"/>
          <w:rtl w:val="0"/>
        </w:rPr>
        <w:t xml:space="preserve">sul</w:t>
      </w:r>
      <w:r w:rsidDel="00000000" w:rsidR="00000000" w:rsidRPr="00000000">
        <w:rPr>
          <w:rFonts w:ascii="Times New Roman" w:cs="Times New Roman" w:eastAsia="Times New Roman" w:hAnsi="Times New Roman"/>
          <w:color w:val="ff0000"/>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Fondo Sociale Europeo Plus 2021-2027, approvato con </w:t>
      </w:r>
      <w:r w:rsidDel="00000000" w:rsidR="00000000" w:rsidRPr="00000000">
        <w:rPr>
          <w:rFonts w:ascii="Times New Roman" w:cs="Times New Roman" w:eastAsia="Times New Roman" w:hAnsi="Times New Roman"/>
          <w:sz w:val="22"/>
          <w:szCs w:val="22"/>
          <w:rtl w:val="0"/>
        </w:rPr>
        <w:t xml:space="preserve">Regolamento (UE) n. 2021/1057 del Parlamento europeo e del Consiglio, del 24 giugno 2021, che istituisce e disciplina il Fondo sociale europeo Plus (FSE Plus) e che abroga il regolamento (UE) n. 1296/2013.</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dall’art. n. 69 c. 2 del</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Regolamento (UE) n. 2021/1060 del Parlamento europeo e del Consiglio, recante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rsidR="00000000" w:rsidDel="00000000" w:rsidP="00000000" w:rsidRDefault="00000000" w:rsidRPr="00000000" w14:paraId="0000005A">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sz w:val="22"/>
          <w:szCs w:val="22"/>
          <w:highlight w:val="white"/>
          <w:rtl w:val="0"/>
        </w:rPr>
        <w:t xml:space="preserve">Arachne</w:t>
      </w:r>
      <w:r w:rsidDel="00000000" w:rsidR="00000000" w:rsidRPr="00000000">
        <w:rPr>
          <w:rFonts w:ascii="Times New Roman" w:cs="Times New Roman" w:eastAsia="Times New Roman" w:hAnsi="Times New Roman"/>
          <w:sz w:val="22"/>
          <w:szCs w:val="22"/>
          <w:highlight w:val="white"/>
          <w:rtl w:val="0"/>
        </w:rPr>
        <w:t xml:space="preserve">”. 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3">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7">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8">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persona diversa dal legale rappresentante, precisare anche gli estremi dell’atto di procura.</w:t>
      </w:r>
    </w:p>
  </w:footnote>
  <w:footnote w:id="1">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ricomprendere anche il dichiarante.</w:t>
      </w:r>
    </w:p>
  </w:footnote>
  <w:footnote w:id="2">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è il legale rappresentante devono essere indicati solo i dati relativi a quest’ultimo.</w:t>
      </w:r>
    </w:p>
  </w:footnote>
  <w:footnote w:id="3">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w:t>
      </w:r>
      <w:r w:rsidDel="00000000" w:rsidR="00000000" w:rsidRPr="00000000">
        <w:rPr>
          <w:rFonts w:ascii="Times New Roman" w:cs="Times New Roman" w:eastAsia="Times New Roman" w:hAnsi="Times New Roman"/>
          <w:b w:val="1"/>
          <w:color w:val="000000"/>
          <w:sz w:val="18"/>
          <w:szCs w:val="18"/>
          <w:rtl w:val="0"/>
        </w:rPr>
        <w:t xml:space="preserve">non </w:t>
      </w:r>
      <w:r w:rsidDel="00000000" w:rsidR="00000000" w:rsidRPr="00000000">
        <w:rPr>
          <w:rFonts w:ascii="Times New Roman" w:cs="Times New Roman" w:eastAsia="Times New Roman" w:hAnsi="Times New Roman"/>
          <w:color w:val="000000"/>
          <w:sz w:val="18"/>
          <w:szCs w:val="18"/>
          <w:rtl w:val="0"/>
        </w:rPr>
        <w:t xml:space="preserve">è il legale rappresentante, ma un procuratore munito del potere di rappresentanza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che sottoscrive la domanda di partecipazione devono essere indicati i dati relativi sia al legale rappresentante che al dichiarante. </w:t>
      </w:r>
    </w:p>
  </w:footnote>
  <w:footnote w:id="4">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Nel caso di città in cui siano presenti più sedi dell’Inps, Inail o dell’Agenzia delle entrate, specificare quella effettivamente competente.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72">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lavoratori con contratto di lavoro subordinato e può anche occupare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6">
    <w:p w:rsidR="00000000" w:rsidDel="00000000" w:rsidP="00000000" w:rsidRDefault="00000000" w:rsidRPr="00000000" w14:paraId="00000074">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esclusivamente lavoratori con rapporti di collaborazione coordinata e continuativa aventi per oggetto attività svolte senza vincolo di subordinazione.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7">
    <w:p w:rsidR="00000000" w:rsidDel="00000000" w:rsidP="00000000" w:rsidRDefault="00000000" w:rsidRPr="00000000" w14:paraId="00000076">
      <w:pPr>
        <w:ind w:left="284" w:hanging="284"/>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pos="4819"/>
        <w:tab w:val="right"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4"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tabs>
        <w:tab w:val="center" w:pos="4819"/>
        <w:tab w:val="right" w:pos="9638"/>
      </w:tabs>
      <w:rPr>
        <w:vertAlign w:val="superscript"/>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tbl>
    <w:tblPr>
      <w:tblStyle w:val="Table2"/>
      <w:tblW w:w="9445.0" w:type="dxa"/>
      <w:jc w:val="left"/>
      <w:tblInd w:w="-70.0" w:type="dxa"/>
      <w:tblLayout w:type="fixed"/>
      <w:tblLook w:val="0000"/>
    </w:tblPr>
    <w:tblGrid>
      <w:gridCol w:w="9445"/>
      <w:tblGridChange w:id="0">
        <w:tblGrid>
          <w:gridCol w:w="944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rPr>
          </w:pPr>
          <w:bookmarkStart w:colFirst="0" w:colLast="0" w:name="_heading=h.1fob9te" w:id="2"/>
          <w:bookmarkEnd w:id="2"/>
          <w:r w:rsidDel="00000000" w:rsidR="00000000" w:rsidRPr="00000000">
            <w:rPr>
              <w:rFonts w:ascii="Times New Roman" w:cs="Times New Roman" w:eastAsia="Times New Roman" w:hAnsi="Times New Roman"/>
              <w:b w:val="1"/>
              <w:color w:val="000000"/>
              <w:rtl w:val="0"/>
            </w:rPr>
            <w:t xml:space="preserve">Allegato C</w:t>
          </w:r>
          <w:r w:rsidDel="00000000" w:rsidR="00000000" w:rsidRPr="00000000">
            <w:rPr>
              <w:rFonts w:ascii="Times New Roman" w:cs="Times New Roman" w:eastAsia="Times New Roman" w:hAnsi="Times New Roman"/>
              <w:color w:val="000000"/>
              <w:rtl w:val="0"/>
            </w:rPr>
            <w:t xml:space="preserve">     al Decreto n.</w:t>
          </w:r>
          <w:r w:rsidDel="00000000" w:rsidR="00000000" w:rsidRPr="00000000">
            <w:rPr>
              <w:rFonts w:ascii="Times New Roman" w:cs="Times New Roman" w:eastAsia="Times New Roman" w:hAnsi="Times New Roman"/>
              <w:rtl w:val="0"/>
            </w:rPr>
            <w:t xml:space="preserve"> n. 1272 del </w:t>
          </w:r>
          <w:r w:rsidDel="00000000" w:rsidR="00000000" w:rsidRPr="00000000">
            <w:rPr>
              <w:rFonts w:ascii="Times New Roman" w:cs="Times New Roman" w:eastAsia="Times New Roman" w:hAnsi="Times New Roman"/>
              <w:rtl w:val="0"/>
            </w:rPr>
            <w:t xml:space="preserve">16 novembre 2022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827491"/>
    <w:pPr>
      <w:tabs>
        <w:tab w:val="center" w:pos="4819"/>
        <w:tab w:val="right" w:pos="9638"/>
      </w:tabs>
    </w:pPr>
  </w:style>
  <w:style w:type="character" w:styleId="IntestazioneCarattere" w:customStyle="1">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val="1"/>
    <w:rsid w:val="00827491"/>
    <w:pPr>
      <w:tabs>
        <w:tab w:val="center" w:pos="4819"/>
        <w:tab w:val="right" w:pos="9638"/>
      </w:tabs>
    </w:pPr>
  </w:style>
  <w:style w:type="character" w:styleId="PidipaginaCarattere" w:customStyle="1">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val="1"/>
    <w:unhideWhenUsed w:val="1"/>
    <w:rsid w:val="00AA2B3D"/>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A2B3D"/>
    <w:rPr>
      <w:rFonts w:ascii="Tahoma" w:cs="Tahoma" w:hAnsi="Tahoma"/>
      <w:sz w:val="16"/>
      <w:szCs w:val="16"/>
    </w:r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DftN5IMUyL/YVnQHU/6Y8RuzA==">AMUW2mXAem/mXbTkjVAE7kjwGOcXkl0JO8s5+f7vm3jQ7/L9ctgiVD7DG6K6Im6nTbNB7UvOaPF6MFy6XQcpBehPu3knFJA2qQ9XzVmoVHfp9XjXSrC6ZhvP3j/thyoXwClfy5xCX3rTAHwsygy6IY1HgZNVYYTCuLy8aovSgIYnRoOL3lwcPlS4LZNt4hIvd/N+/Rh6DcYlVl0t68VR3q6S5c3LqK5SgT13rLUD6FprSsJ/Q5789GQjp277AtSXGpepdZzRcL1O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2019-05-08T07:41:00Z</dcterms:created>
  <dc:creator>FRANCESCA DE MARCH</dc:creator>
</cp:coreProperties>
</file>