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CD" w:rsidRDefault="00421181">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RESTITUIRE IL MODULO COMPLETO DI TUTTE LE PAGINE DI CUI E’ COMPOSTO</w:t>
      </w:r>
    </w:p>
    <w:p w:rsidR="008F30CD" w:rsidRDefault="008F30CD">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8F30CD" w:rsidRDefault="004211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8F30CD" w:rsidRDefault="004211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8F30CD" w:rsidRDefault="008F30C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 nato a ___________________________il ________________, C.F. _______________________, residente in ____________________ in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8F30CD" w:rsidRDefault="004211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b"/>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8F30CD">
        <w:trPr>
          <w:trHeight w:val="657"/>
        </w:trPr>
        <w:tc>
          <w:tcPr>
            <w:tcW w:w="2694" w:type="dxa"/>
            <w:vAlign w:val="center"/>
          </w:tcPr>
          <w:p w:rsidR="008F30CD" w:rsidRDefault="008F30C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8F30CD">
        <w:trPr>
          <w:trHeight w:val="748"/>
        </w:trPr>
        <w:tc>
          <w:tcPr>
            <w:tcW w:w="2694" w:type="dxa"/>
          </w:tcPr>
          <w:p w:rsidR="008F30CD" w:rsidRDefault="004211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F30CD">
        <w:trPr>
          <w:trHeight w:val="703"/>
        </w:trPr>
        <w:tc>
          <w:tcPr>
            <w:tcW w:w="2694" w:type="dxa"/>
          </w:tcPr>
          <w:p w:rsidR="008F30CD" w:rsidRDefault="004211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c.p.p.:_________________________________________________________________________</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8F30CD" w:rsidRDefault="00421181">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8F30CD" w:rsidRDefault="00421181">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8F30CD" w:rsidRDefault="00421181">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8F30CD" w:rsidRDefault="00421181">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Si fa presente che, ai sensi dell’art. 33 del D.P.R. n. 313/2002, la persona interessata può effettuare una visura, presso l’Ufficio del Casellario giudiziale, senza efficacia certificativa, di tutte le iscrizione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8F30CD" w:rsidRDefault="00421181">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INAIL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Altra cassa (specificare) __________________________________ matricola n. __________________</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caso di non iscrizione ad uno degli enti suindicati, indicare i motivi __________________________</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______________________(</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8F30CD" w:rsidRDefault="004211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8F30CD" w:rsidRDefault="004211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8F30CD" w:rsidRDefault="004211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8"/>
      </w:r>
      <w:r>
        <w:rPr>
          <w:rFonts w:ascii="Times New Roman" w:eastAsia="Times New Roman" w:hAnsi="Times New Roman" w:cs="Times New Roman"/>
          <w:color w:val="000000"/>
          <w:sz w:val="22"/>
          <w:szCs w:val="22"/>
        </w:rPr>
        <w:t>)</w:t>
      </w:r>
    </w:p>
    <w:p w:rsidR="008F30CD" w:rsidRDefault="008F30CD">
      <w:pPr>
        <w:pBdr>
          <w:top w:val="nil"/>
          <w:left w:val="nil"/>
          <w:bottom w:val="nil"/>
          <w:right w:val="nil"/>
          <w:between w:val="nil"/>
        </w:pBdr>
        <w:spacing w:line="240" w:lineRule="auto"/>
        <w:ind w:left="0" w:hanging="2"/>
        <w:jc w:val="right"/>
      </w:pPr>
    </w:p>
    <w:p w:rsidR="008F30CD" w:rsidRDefault="004211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8F30CD" w:rsidRDefault="00421181">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8F30CD" w:rsidRDefault="008F30CD">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8F30CD" w:rsidRDefault="008F30CD">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c"/>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8F30CD">
        <w:trPr>
          <w:trHeight w:val="657"/>
        </w:trPr>
        <w:tc>
          <w:tcPr>
            <w:tcW w:w="1847"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8F30CD">
        <w:tc>
          <w:tcPr>
            <w:tcW w:w="1847"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F30CD">
        <w:tc>
          <w:tcPr>
            <w:tcW w:w="1847"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F30CD">
        <w:tc>
          <w:tcPr>
            <w:tcW w:w="1847"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F30CD">
        <w:tc>
          <w:tcPr>
            <w:tcW w:w="1847"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8F30CD">
        <w:tc>
          <w:tcPr>
            <w:tcW w:w="1847"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8F30CD" w:rsidRDefault="00421181">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8F30CD" w:rsidRDefault="004211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8F30CD" w:rsidRDefault="00421181">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8F30CD" w:rsidRDefault="00421181">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8F30CD" w:rsidRDefault="00421181">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General Data Protection Regulation</w:t>
      </w:r>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Titolare del trattamento è la Regione del Veneto / Giunta Regionale, con sede a Palazzo Balbi - Dorsoduro, 3901, 30123 – Venezia.</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 con sede in Fondamenta S.Lucia, Cannaregio 23 - 30121 Venezia, mail: formazioneistruzione@regione.veneto.it; PEC: formazioneistruzione@pec.regione.veneto.it</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Data Protection Officer</w:t>
      </w:r>
      <w:r>
        <w:rPr>
          <w:rFonts w:ascii="Times New Roman" w:eastAsia="Times New Roman" w:hAnsi="Times New Roman" w:cs="Times New Roman"/>
          <w:color w:val="000000"/>
          <w:sz w:val="22"/>
          <w:szCs w:val="22"/>
        </w:rPr>
        <w:t xml:space="preserve"> ha sede a Palazzo Sceriman, Cannaregio,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8F30CD" w:rsidRDefault="008F30CD">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lett.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8F30CD" w:rsidRDefault="004211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1" w:name="_heading=h.30j0zll" w:colFirst="0" w:colLast="0"/>
      <w:bookmarkEnd w:id="1"/>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8F30CD">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452" w:rsidRDefault="00A84452">
      <w:pPr>
        <w:spacing w:line="240" w:lineRule="auto"/>
        <w:ind w:left="0" w:hanging="2"/>
      </w:pPr>
      <w:r>
        <w:separator/>
      </w:r>
    </w:p>
  </w:endnote>
  <w:endnote w:type="continuationSeparator" w:id="0">
    <w:p w:rsidR="00A84452" w:rsidRDefault="00A844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CD" w:rsidRDefault="008F30CD">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CD" w:rsidRDefault="00421181">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CD" w:rsidRDefault="008F30CD">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452" w:rsidRDefault="00A84452">
      <w:pPr>
        <w:spacing w:line="240" w:lineRule="auto"/>
        <w:ind w:left="0" w:hanging="2"/>
      </w:pPr>
      <w:r>
        <w:separator/>
      </w:r>
    </w:p>
  </w:footnote>
  <w:footnote w:type="continuationSeparator" w:id="0">
    <w:p w:rsidR="00A84452" w:rsidRDefault="00A84452">
      <w:pPr>
        <w:spacing w:line="240" w:lineRule="auto"/>
        <w:ind w:left="0" w:hanging="2"/>
      </w:pPr>
      <w:r>
        <w:continuationSeparator/>
      </w:r>
    </w:p>
  </w:footnote>
  <w:footnote w:id="1">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Inail o dell’Agenzia delle entrate, specificare quella effettivamente competente.</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8F30CD" w:rsidRDefault="008F30CD">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8F30CD" w:rsidRDefault="0042118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 w:id="9">
    <w:p w:rsidR="008F30CD" w:rsidRDefault="004211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8F30CD" w:rsidRDefault="00421181">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CD" w:rsidRDefault="008F30CD">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CD" w:rsidRDefault="008F30CD">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d"/>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8F30CD">
      <w:trPr>
        <w:trHeight w:val="584"/>
      </w:trPr>
      <w:tc>
        <w:tcPr>
          <w:tcW w:w="8008" w:type="dxa"/>
          <w:tcBorders>
            <w:top w:val="single" w:sz="4" w:space="0" w:color="C0C0C0"/>
            <w:left w:val="single" w:sz="4" w:space="0" w:color="C0C0C0"/>
            <w:bottom w:val="single" w:sz="4" w:space="0" w:color="C0C0C0"/>
            <w:right w:val="single" w:sz="4" w:space="0" w:color="C0C0C0"/>
          </w:tcBorders>
        </w:tcPr>
        <w:p w:rsidR="008F30CD" w:rsidRDefault="00421181" w:rsidP="00880B6E">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A  al Decreto n.  </w:t>
          </w:r>
          <w:r w:rsidR="00595E48">
            <w:rPr>
              <w:rFonts w:ascii="Times New Roman" w:eastAsia="Times New Roman" w:hAnsi="Times New Roman" w:cs="Times New Roman"/>
              <w:b/>
              <w:color w:val="000000"/>
              <w:sz w:val="28"/>
              <w:szCs w:val="28"/>
            </w:rPr>
            <w:t xml:space="preserve"> </w:t>
          </w:r>
          <w:r w:rsidR="00D36338">
            <w:rPr>
              <w:rFonts w:ascii="Times New Roman" w:eastAsia="Times New Roman" w:hAnsi="Times New Roman" w:cs="Times New Roman"/>
              <w:b/>
              <w:color w:val="000000"/>
              <w:sz w:val="28"/>
              <w:szCs w:val="28"/>
            </w:rPr>
            <w:t>741</w:t>
          </w:r>
          <w:r w:rsidR="00595E48">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del </w:t>
          </w:r>
          <w:r>
            <w:rPr>
              <w:rFonts w:ascii="Times New Roman" w:eastAsia="Times New Roman" w:hAnsi="Times New Roman" w:cs="Times New Roman"/>
              <w:b/>
              <w:sz w:val="28"/>
              <w:szCs w:val="28"/>
            </w:rPr>
            <w:t xml:space="preserve"> </w:t>
          </w:r>
          <w:r w:rsidR="00595E48">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 </w:t>
          </w:r>
          <w:r w:rsidR="00D36338">
            <w:rPr>
              <w:rFonts w:ascii="Times New Roman" w:eastAsia="Times New Roman" w:hAnsi="Times New Roman" w:cs="Times New Roman"/>
              <w:b/>
              <w:color w:val="000000"/>
              <w:sz w:val="28"/>
              <w:szCs w:val="28"/>
            </w:rPr>
            <w:t>12/05/2023</w:t>
          </w:r>
          <w:bookmarkStart w:id="2" w:name="_GoBack"/>
          <w:bookmarkEnd w:id="2"/>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36338">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8F30CD" w:rsidRDefault="008F30CD">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8F30CD" w:rsidRDefault="008F30CD">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0CD" w:rsidRDefault="008F30CD">
    <w:pPr>
      <w:widowControl w:val="0"/>
      <w:pBdr>
        <w:top w:val="nil"/>
        <w:left w:val="nil"/>
        <w:bottom w:val="nil"/>
        <w:right w:val="nil"/>
        <w:between w:val="nil"/>
      </w:pBdr>
      <w:spacing w:line="276" w:lineRule="auto"/>
      <w:ind w:left="0" w:hanging="2"/>
      <w:rPr>
        <w:color w:val="000000"/>
      </w:rPr>
    </w:pPr>
  </w:p>
  <w:tbl>
    <w:tblPr>
      <w:tblStyle w:val="ae"/>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8F30CD">
      <w:trPr>
        <w:trHeight w:val="1293"/>
      </w:trPr>
      <w:tc>
        <w:tcPr>
          <w:tcW w:w="7583" w:type="dxa"/>
          <w:tcBorders>
            <w:top w:val="single" w:sz="4" w:space="0" w:color="C0C0C0"/>
            <w:left w:val="single" w:sz="4" w:space="0" w:color="C0C0C0"/>
            <w:bottom w:val="single" w:sz="4" w:space="0" w:color="C0C0C0"/>
            <w:right w:val="single" w:sz="4" w:space="0" w:color="C0C0C0"/>
          </w:tcBorders>
        </w:tcPr>
        <w:p w:rsidR="008F30CD" w:rsidRDefault="0042118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8F30CD" w:rsidRDefault="00421181">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8F30CD" w:rsidRDefault="008F30CD">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8F30CD" w:rsidRDefault="00421181" w:rsidP="00880B6E">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 xml:space="preserve">ALLEGATO A  al Decreto n.  </w:t>
          </w:r>
          <w:r w:rsidR="00880B6E">
            <w:rPr>
              <w:rFonts w:ascii="Times New Roman" w:eastAsia="Times New Roman" w:hAnsi="Times New Roman" w:cs="Times New Roman"/>
              <w:b/>
              <w:color w:val="000000"/>
              <w:sz w:val="28"/>
              <w:szCs w:val="28"/>
            </w:rPr>
            <w:t>741</w:t>
          </w:r>
          <w:r>
            <w:rPr>
              <w:rFonts w:ascii="Times New Roman" w:eastAsia="Times New Roman" w:hAnsi="Times New Roman" w:cs="Times New Roman"/>
              <w:b/>
              <w:color w:val="000000"/>
              <w:sz w:val="28"/>
              <w:szCs w:val="28"/>
            </w:rPr>
            <w:t xml:space="preserve">  del</w:t>
          </w:r>
          <w:r w:rsidR="00595E48">
            <w:rPr>
              <w:rFonts w:ascii="Times New Roman" w:eastAsia="Times New Roman" w:hAnsi="Times New Roman" w:cs="Times New Roman"/>
              <w:b/>
              <w:color w:val="000000"/>
              <w:sz w:val="28"/>
              <w:szCs w:val="28"/>
            </w:rPr>
            <w:t xml:space="preserve">    </w:t>
          </w:r>
          <w:r w:rsidR="00880B6E">
            <w:rPr>
              <w:rFonts w:ascii="Times New Roman" w:eastAsia="Times New Roman" w:hAnsi="Times New Roman" w:cs="Times New Roman"/>
              <w:b/>
              <w:color w:val="000000"/>
              <w:sz w:val="28"/>
              <w:szCs w:val="28"/>
            </w:rPr>
            <w:t>12/05/2023</w:t>
          </w:r>
          <w:r w:rsidR="00595E48">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36338">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8F30CD" w:rsidRDefault="008F30CD">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8F30CD" w:rsidRDefault="008F30CD">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2823"/>
    <w:multiLevelType w:val="multilevel"/>
    <w:tmpl w:val="22F6BD3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DB3176F"/>
    <w:multiLevelType w:val="multilevel"/>
    <w:tmpl w:val="44E80D86"/>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abstractNum w:abstractNumId="2" w15:restartNumberingAfterBreak="0">
    <w:nsid w:val="68717D3E"/>
    <w:multiLevelType w:val="multilevel"/>
    <w:tmpl w:val="33C68C1A"/>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0CD"/>
    <w:rsid w:val="00421181"/>
    <w:rsid w:val="00595E48"/>
    <w:rsid w:val="00880B6E"/>
    <w:rsid w:val="008F30CD"/>
    <w:rsid w:val="00A84452"/>
    <w:rsid w:val="00D363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FF69"/>
  <w15:docId w15:val="{E639770D-3071-4BE8-946D-4BC2B49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8NYW+QtcZp9e02kpz51hP3D9/w==">AMUW2mXDErka19JSdkqW80PT5FsuuYXf55b4RzJwSyvFYM3ZVePGidS/iwxhnkTreYksEKJ15m+UDlipVNH0p0NhyyDTsDOiC4j8ZmsBdEwVfOKpa6y1FbPu2OC5FVyBxUB12xqKi5cz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2382</Words>
  <Characters>13578</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3</cp:revision>
  <dcterms:created xsi:type="dcterms:W3CDTF">2022-10-24T06:29:00Z</dcterms:created>
  <dcterms:modified xsi:type="dcterms:W3CDTF">2023-05-15T07:07:00Z</dcterms:modified>
</cp:coreProperties>
</file>