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1489075</wp:posOffset>
            </wp:positionH>
            <wp:positionV relativeFrom="page">
              <wp:posOffset>1604645</wp:posOffset>
            </wp:positionV>
            <wp:extent cx="4880812" cy="762318"/>
            <wp:effectExtent b="0" l="0" r="0" t="0"/>
            <wp:wrapNone/>
            <wp:docPr id="10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0812" cy="762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AUTODICHIARAZIONE RELATIVA 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RISPETTO DEI PRINCIPI PREVISTI PER GLI INTERVENTI DEL PNRR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Garamond" w:cs="Garamond" w:eastAsia="Garamond" w:hAnsi="Garamond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8"/>
          <w:szCs w:val="28"/>
          <w:rtl w:val="0"/>
        </w:rPr>
        <w:t xml:space="preserve">DGR n. 552 del 09/05/2023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Garamond" w:cs="Garamond" w:eastAsia="Garamond" w:hAnsi="Garamond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8"/>
          <w:szCs w:val="28"/>
          <w:rtl w:val="0"/>
        </w:rPr>
        <w:t xml:space="preserve">“GIARDINIERE D’ARTE PER GIARDINI E PARCHI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STORICI”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Misura 1: “Digitalizzazione, innovazione, competitività e cultura”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Componente 3: Cultura 4.0 “Rigenerazione di piccoli siti culturali, patrimonio culturale, religioso e rurale” Misura 2 “rigenerazione di piccoli siti culturali, patrimonio culturale, religioso e rurale”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Investimento 2.3: “Programmi per valorizzare l’identità dei luoghi: parchi e giardini storici”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La/Il sottoscritta/o ________________________________________________________________, nato a _____________________________________________, il ___________________________, CF_________________________________, in qualità di organo titolare del potere di impegnare l’Amministrazione/legale rappresentante o di procuratore/amministratore/direttore generale/dirigente munito di potere di rappresentanza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di ____________________________________________, con sede legale in Via/piazza __________________________________, n. _____, cap. ________, tel._____________________________, posta elettronica certificata (PEC) ____________________________________________________ ai sensi degli artt. 46 e 47 del DPR n. 445/2000 e quindi consapevole delle responsabilità di ordine amministrativo, civile e penale in caso di dichiarazioni mendaci, ex art. 76 del DPR medesimo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DICHIARA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i progetti presentati non sono finanziati da altre fonti del bilancio dell’Unione europea, in ottemperanza a quanto previsto dall’art. 9 del Reg. (UE) 2021/241;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la realizzazione delle attività prevede il rispetto del principio di addizionalità del sostegno dell’Unione europea previsto dall’art.9 del Reg. (UE) 2021/241;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la realizzazione delle attività prevede di non arrecare un danno significativo agli obiettivi ambientali “Do No Significant Harm” (DNSH), ai sensi dell'articolo 17 del Regolamento (UE) 2020/852;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la realizzazione delle attività prevede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Tagging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clima e digitale, della parità di genere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Gender Equality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), della protezione e valorizzazione dei giovani e del superamento dei divari territoriali;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l’attuazione dei progetti prevede il rispetto delle norme comunitarie e nazionali applicabili, ivi incluse quelle in materia di trasparenza, uguaglianza di genere e pari opportunità e tutela dei diversamente abili;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l’attuazione dei progetti prevede il rispetto della normativa europea e nazionale applicabile, con particolare riferimento ai principi di parità di trattamento, non discriminazione, trasparenza, proporzionalità e pubblicità;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adotterà misure adeguate volte a rispettare il principio di sana gestione finanziaria secondo quanto disciplinato nel Regolamento finanziario (UE, Euratom) 2018/1046 e nell’art. 22 del Regolamento (UE) 2021/241, in particolare in materia di prevenzione dei conflitti di interessi, delle frodi, della corruzione e di recupero e restituzione dei fondi che sono stati indebitamente assegnati;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 disporre delle competenze, risorse e qualifiche professionali, sia tecniche che amministrative, necessarie per portare a termine le Operazioni e assicurare il raggiungimento di eventuali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milestone e target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associati;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 aver considerato e valutato tutte le condizioni che possono incidere sull’ottenimento e utilizzo del finanziamento a valere sulle risorse della Missione 1 – Digitalizzazione, innovazione, competitività e cultura, Component 3 – Cultura 4.0 (M1C3), Misura 2 “Rigenerazione di piccoli siti culturali, patrimonio culturale, religioso e rurale”, Investimento 2.3: “Programmi per valorizzare l’identità dei luoghi: parchi e giardini storici” e di averne tenuto conto ai fini dell’elaborazione della proposta progettuale;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 essere a conoscenza che l’Amministrazione centrale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E SI IMPEGNA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avviare tempestivamente le attività progettuali per non incorrere in ritardi e concludere i progetti nella forma, nei modi e nei tempi previsti dei termini previsti al paragrafo 23. Termini per l’avvio e la conclusione dei progetti della Direttiva: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adottare un sistema di contabilità separata (o una codificazione contabile adeguata) e informatizzata per tutte le transazioni relative ai progetti per assicurare la tracciabilità dell’utilizzo delle risorse del PNRR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effettuare i controlli di gestione e i controlli amministrativo-contabili previsti dalla legislazione nazionale applicabile per garantire la regolarità delle procedure e delle spese sostenute prima di rendicontarle alla Regione del Veneto, nonché la riferibilità delle spese ai progetti ammessi al finanziamento sul PNRR;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resentare la rendicontazione dei costi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secondo le modalità e 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tempi di cui alla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DGR n. 552 del 09/05/2023;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rispettare gli adempimenti in materia di trasparenza amministrativa ex D.lgs. 25 maggio 2016, n. 97 e gli obblighi in materia di comunicazione e informazione previsti dall’art. 34 del Regolamento (UE) 2021/241 indicando nella documentazione progettuale che i progetti sono finanziati nell’ambito del PNRR, con una esplicita dichiarazione di finanziamento che reciti "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finanziato dall'Unione europea - NextGenerationEU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" e valorizzando l’emblema dell’Unione europea;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rispettare l’obbligo di rilevazione e imputazione nel sistema informatico dei dati di monitoraggio sull’avanzamento procedurale, fisico e finanziario dei progetti, dall’art. 22.2 lettera d) del Regolamento (UE) 2021/241;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comprovare il conseguimento dei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target e dei milestone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associati agli interventi con la produzione e l’imputazione nel sistema informatico della documentazione probatoria pertinente; assicurare la conservazione della documentazione progettuale in fascicoli cartacei o informatici ai fini della completa tracciabilità delle operazioni - nel rispetto di quanto previsto dal D.lgs. 82/2005 e ss.mm.ii. e all’art. 9 punto 4 del decreto-legge 77 del 31 maggio 2021, convertito con legge 29 luglio 2021, n. 108 - che, nelle diverse fasi di controllo e verifica previste dal sistema di gestione e controllo del PNRR, dovranno essere messi prontamente a disposizione su richiesta della Regione del Veneto, dell’Unità di Audit, della Commissione europea, dell’OLAF, della Corte dei Conti europea (ECA), della Procura europea (EPPO) e delle competenti Autorità giudiziarie nazionali.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387"/>
          <w:tab w:val="center" w:leader="none" w:pos="7938"/>
        </w:tabs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 _______________</w:t>
        <w:tab/>
        <w:t xml:space="preserve">                 Il legale rappresentante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Si allega copia del documento di identità, in corso di validità (art. 38 del D.P.R. 445/2000 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ss.mm.ii).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Se persona diversa dal legale rappresentante, precisare anche gli estremi dell’atto di procura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Ad esempio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utilizzo di appositi capitoli all’interno del piano esecutivo di gestione o del bilancio finanziario gestionale al fine di garantire l’individuazione delle entrate e delle uscite relative alle risorse del PNRR dedicate a specifici progetti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7651"/>
      <w:gridCol w:w="2127"/>
      <w:tblGridChange w:id="0">
        <w:tblGrid>
          <w:gridCol w:w="7651"/>
          <w:gridCol w:w="2127"/>
        </w:tblGrid>
      </w:tblGridChange>
    </w:tblGrid>
    <w:tr>
      <w:trPr>
        <w:cantSplit w:val="0"/>
        <w:trHeight w:val="1293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</w:tcPr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  <w:drawing>
              <wp:inline distB="0" distT="0" distL="114300" distR="114300">
                <wp:extent cx="2295525" cy="284480"/>
                <wp:effectExtent b="0" l="0" r="0" t="0"/>
                <wp:docPr id="1029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D al Decreto n. 741        del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12/05/2023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3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977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150"/>
      <w:gridCol w:w="1628"/>
      <w:tblGridChange w:id="0">
        <w:tblGrid>
          <w:gridCol w:w="8150"/>
          <w:gridCol w:w="1628"/>
        </w:tblGrid>
      </w:tblGridChange>
    </w:tblGrid>
    <w:tr>
      <w:trPr>
        <w:cantSplit w:val="0"/>
        <w:trHeight w:val="584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D al Decreto n.  741     del       12/05/2023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</w:tcPr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ind w:left="426" w:right="142"/>
      <w:jc w:val="center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ind w:left="426" w:right="142"/>
      <w:jc w:val="center"/>
      <w:outlineLvl w:val="5"/>
    </w:pPr>
    <w:rPr>
      <w:rFonts w:ascii="Times New Roman" w:cs="Times New Roman" w:hAnsi="Times New Roman"/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cs="Times New Roman" w:hAnsi="Bookman Old Style"/>
    </w:rPr>
  </w:style>
  <w:style w:type="paragraph" w:styleId="CorpotestobtbodytextBODYTEXTBlocktexttTextheadingtxtbodytxy2ParaEHPTBodyText2bt1bodytextBTtxt1T1Title1EDStextspbullettitlesbsblocktextResumeTextbt4bodytext4bt5bodytext5bodytext1txtextJustifiedppRFPText" w:customStyle="1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cs="Times New Roman" w:hAnsi="Bookman Old Styl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cs="Times New Roman" w:hAnsi="Bookman Old Sty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styleId="Testonotaapidipaginastile1FootnoteFootnote1Footnote2Footnote3Footnote4Footnote5Footnote6Footnote7Footnote8Footnote9Footnote10Footnote11Footnote21Footnote31Footnote41Footnote51Footnote61Footnote71Footnote81Footnote91" w:customStyle="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eelenco" w:customStyle="1">
    <w:name w:val="Normale elenco"/>
    <w:basedOn w:val="Normale"/>
    <w:pPr>
      <w:spacing w:after="120" w:before="240"/>
      <w:jc w:val="both"/>
    </w:pPr>
    <w:rPr>
      <w:rFonts w:ascii="Courier New" w:cs="Courier New" w:hAnsi="Courier New"/>
      <w:sz w:val="22"/>
      <w:szCs w:val="22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character" w:styleId="TestonotaapidipaginaCarattere1stile1CarattereFootnoteCarattereFootnote1CarattereFootnote2CarattereFootnote3CarattereFootnote4CarattereFootnote5CarattereFootnote6CarattereFootnote7CarattereFootnote8Carattere" w:customStyle="1">
    <w:name w:val="Testo nota a piè di pagina Carattere1;stile 1 Carattere;Footnote Carattere;Footnote1 Carattere;Footnote2 Carattere;Footnote3 Carattere;Footnote4 Carattere;Footnote5 Carattere;Footnote6 Carattere;Footnote7 Carattere;Footnote8 Carattere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83e1ob0rcwZgmUdJygn1MBf1Q==">CgMxLjAyCGguZ2pkZ3hzOAByITFJQkJpSFVEeG5hbUhfYzBITW1BOGQzQy1oYnFXMTh5Rw==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2023-05-22T10:07:00Z</dcterms:created>
  <dc:creator>maria-pastrello</dc:creator>
</cp:coreProperties>
</file>