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1489075</wp:posOffset>
            </wp:positionH>
            <wp:positionV relativeFrom="page">
              <wp:posOffset>1604645</wp:posOffset>
            </wp:positionV>
            <wp:extent cx="4880812" cy="762318"/>
            <wp:effectExtent b="0" l="0" r="0" t="0"/>
            <wp:wrapNone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812" cy="762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AUTODICHIARAZIONE RELATIVA 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RISPETTO DEI PRINCIPI PREVISTI PER GLI INTERVENTI DEL PNRR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DGR n. 552 del 09/05/2023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“GIARDINIERE D’ARTE PER GIARDINI E PARCHI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STORICI”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Misura 1: “Digitalizzazione, innovazione, competitività e cultura”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Componente 3: Cultura 4.0 “Rigenerazione di piccoli siti culturali, patrimonio culturale, religioso e rurale” Misura 2 “rigenerazione di piccoli siti culturali, patrimonio culturale, religioso e rurale”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Investimento 2.3: “Programmi per valorizzare l’identità dei luoghi: parchi e giardini storici”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La/Il sottoscritta/o ________________________________________________________________, nato a _____________________________________________, il ___________________________, CF_________________________________, in qualità di organo titolare del potere di impegnare l’Amministrazione/legale rappresentante o di procuratore/amministratore/direttore generale/dirigente munito di potere di rappresentanza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di ____________________________________________, con sede legale in Via/piazza __________________________________, n. _____, cap. ________, tel._____________________________, posta elettronica certificata (PEC) ____________________________________________________ ai sensi degli artt. 46 e 47 del DPR n. 445/2000 e quindi consapevole delle responsabilità di ordine amministrativo, civile e penale in caso di dichiarazioni mendaci, ex art. 76 del DPR medesimo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i progetti presentati non sono finanziati da altre fonti del bilancio dell’Unione europea, in ottemperanza a quanto previsto dall’art. 9 del Reg. (UE) 2021/241;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la realizzazione delle attività prevede il rispetto del principio di addizionalità del sostegno dell’Unione europea previsto dall’art.9 del Reg. (UE) 2021/241;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la realizzazione delle attività prevede di non arrecare un danno significativo agli obiettivi ambientali “Do No Significant Harm” (DNSH), ai sensi dell'articolo 17 del Regolamento (UE) 2020/852;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la realizzazione delle attività prevede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Tagging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clima e digitale, della parità di genere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Gender Equality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), della protezione e valorizzazione dei giovani e del superamento dei divari territoriali;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l’attuazione dei progetti prevede il rispetto delle norme comunitarie e nazionali applicabili, ivi incluse quelle in materia di trasparenza, uguaglianza di genere e pari opportunità e tutela dei diversamente abili;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l’attuazione dei progetti prevede il rispetto della normativa europea e nazionale applicabile, con particolare riferimento ai principi di parità di trattamento, non discriminazione, trasparenza, proporzionalità e pubblicità;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aramond" w:cs="Garamond" w:eastAsia="Garamond" w:hAnsi="Garamond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adotterà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disporre delle competenze, risorse e qualifiche professionali, sia tecniche che amministrative, necessarie per portare a termine le Operazioni e assicurare il raggiungimento di eventuali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milestone e target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associati;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aver considerato e valutato tutte le condizioni che possono incidere sull’ottenimento e utilizzo del finanziamento a valere sulle risorse della Missione 1 – Digitalizzazione, innovazione, competitività e cultura, Component 3 – Cultura 4.0 (M1C3), Misura 2 “Rigenerazione di piccoli siti culturali, patrimonio culturale, religioso e rurale”, Investimento 2.3: “Programmi per valorizzare l’identità dei luoghi: parchi e giardini storici” e di averne tenuto conto ai fini dell’elaborazione della proposta progettuale;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 SI IMPEGNA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avviare tempestivamente le attività progettuali per non incorrere in ritardi e concludere i progetti nella forma, nei modi e nei tempi previsti dei termini previsti al paragrafo 23. Termini per l’avvio e la conclusione dei progetti della Direttiva: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adottare un sistema di contabilità separata (o una codificazione contabile adeguata) e informatizzata per tutte le transazioni relative ai progetti per assicurare la tracciabilità dell’utilizzo delle risorse del PNRR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effettuare i controlli di gestione e i controlli amministrativo-contabili previsti dalla legislazione nazionale applicabile per garantire la regolarità delle procedure e delle spese sostenute prima di rendicontarle alla Regione del Veneto, nonché la riferibilità delle spese ai progetti ammessi al finanziamento sul PNRR;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resentare la rendicontazione dei costi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secondo le modalità e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tempi di cui alla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DGR n. 552 del 09/05/2023;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rispettare gli adempimenti in materia di trasparenza amministrativa ex D.lgs. 25 maggio 2016, n. 97 e gli obblighi in materia di comunicazione e informazione previsti dall’art. 34 del Regolamento (UE) 2021/241 indicando nella documentazione progettuale che i progetti sono finanziati nell’ambito del PNRR, con una esplicita dichiarazione di finanziamento che reciti 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finanziato dall'Unione europea - NextGenerationEU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" e valorizzando l’emblema dell’Unione europea;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rispettare l’obbligo di rilevazione e imputazione nel sistema informatico dei dati di monitoraggio sull’avanzamento procedurale, fisico e finanziario dei progetti, dall’art. 22.2 lettera d) del Regolamento (UE) 2021/241;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comprovare il conseguimento dei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target e dei milestone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associati agli interventi con la produzione e l’imputazione nel sistema informatico della documentazione probatoria pertinente; assicurare la conservazione della documentazione progettuale in fascicoli cartacei o informatici ai fini della completa tracciabilità delle operazioni - nel rispetto di quanto previsto dal D.lgs. 82/2005 e ss.mm.ii. e all’art. 9 punto 4 del decreto-legge 77 del 31 maggio 2021, convertito con legge 29 luglio 2021, n. 108 - che, nelle diverse fasi di controllo e verifica previste dal sistema di gestione e controllo del PNRR, dovranno essere messi prontamente a disposizione su richiesta della Regione del Veneto, dell’Unità di Audit, della Commissione europea, dell’OLAF, della Corte dei Conti europea (ECA), della Procura europea (EPPO) e delle competenti Autorità giudiziarie nazionali.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387"/>
          <w:tab w:val="center" w:leader="none" w:pos="7938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 _______________</w:t>
        <w:tab/>
        <w:t xml:space="preserve">                 Il legale rappresentante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371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allega copia del documento di identità, in corso di validità (art. 38 del D.P.R. 445/2000 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ss.mm.ii).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Se persona diversa dal legale rappresentante, precisare anche gli estremi dell’atto di procura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Ad esempio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color w:val="000000"/>
          <w:sz w:val="20"/>
          <w:szCs w:val="20"/>
          <w:rtl w:val="0"/>
        </w:rPr>
        <w:t xml:space="preserve">utilizzo di appositi capitoli all’interno del piano esecutivo di gestione o del bilancio finanziario gestionale al fine di garantire l’individuazione delle entrate e delle uscite relative alle risorse del PNRR dedicate a specifici progetti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7651"/>
      <w:gridCol w:w="2127"/>
      <w:tblGridChange w:id="0">
        <w:tblGrid>
          <w:gridCol w:w="7651"/>
          <w:gridCol w:w="2127"/>
        </w:tblGrid>
      </w:tblGridChange>
    </w:tblGrid>
    <w:tr>
      <w:trPr>
        <w:cantSplit w:val="0"/>
        <w:trHeight w:val="1293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02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6"/>
              <w:szCs w:val="16"/>
              <w:rtl w:val="0"/>
            </w:rPr>
            <w:t xml:space="preserve">           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D al Decreto n. 741        del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12/05/2023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  <w:rtl w:val="0"/>
            </w:rPr>
            <w:t xml:space="preserve">ALLEGATO D al Decreto n.  741     del       12/05/2023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426" w:right="142"/>
      <w:jc w:val="center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ind w:left="426" w:right="142"/>
      <w:jc w:val="center"/>
      <w:outlineLvl w:val="5"/>
    </w:pPr>
    <w:rPr>
      <w:rFonts w:ascii="Times New Roman" w:cs="Times New Roman" w:hAnsi="Times New Roman"/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cs="Times New Roman" w:hAnsi="Bookman Old Style"/>
    </w:rPr>
  </w:style>
  <w:style w:type="paragraph" w:styleId="CorpotestobtbodytextBODYTEXTBlocktexttTextheadingtxtbodytxy2ParaEHPTBodyText2bt1bodytextBTtxt1T1Title1EDStextspbullettitlesbsblocktextResumeTextbt4bodytext4bt5bodytext5bodytext1txtextJustifiedppRFPText" w:customStyle="1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cs="Times New Roman" w:hAnsi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cs="Times New Roman" w:hAnsi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stile1FootnoteFootnote1Footnote2Footnote3Footnote4Footnote5Footnote6Footnote7Footnote8Footnote9Footnote10Footnote11Footnote21Footnote31Footnote41Footnote51Footnote61Footnote71Footnote81Footnote91" w:customStyle="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eelenco" w:customStyle="1">
    <w:name w:val="Normale elenco"/>
    <w:basedOn w:val="Normale"/>
    <w:pPr>
      <w:spacing w:after="120" w:before="240"/>
      <w:jc w:val="both"/>
    </w:pPr>
    <w:rPr>
      <w:rFonts w:ascii="Courier New" w:cs="Courier New" w:hAnsi="Courier New"/>
      <w:sz w:val="22"/>
      <w:szCs w:val="22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notaapidipaginaCarattere1stile1CarattereFootnoteCarattereFootnote1CarattereFootnote2CarattereFootnote3CarattereFootnote4CarattereFootnote5CarattereFootnote6CarattereFootnote7CarattereFootnote8Carattere" w:customStyle="1">
    <w:name w:val="Testo nota a piè di pagina Carattere1;stile 1 Carattere;Footnote Carattere;Footnote1 Carattere;Footnote2 Carattere;Footnote3 Carattere;Footnote4 Carattere;Footnote5 Carattere;Footnote6 Carattere;Footnote7 Carattere;Footnote8 Carattere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L83e1ob0rcwZgmUdJygn1MBf1Q==">CgMxLjAyCGguZ2pkZ3hzOAByITFJQkJpSFVEeG5hbUhfYzBITW1BOGQzQy1oYnFXMTh5Rw==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2023-05-22T10:07:00Z</dcterms:created>
  <dc:creator>maria-pastrello</dc:creator>
</cp:coreProperties>
</file>