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3B" w:rsidRDefault="008D624A">
      <w:pPr>
        <w:pStyle w:val="Titolo1"/>
        <w:pBdr>
          <w:top w:val="nil"/>
          <w:left w:val="nil"/>
          <w:bottom w:val="nil"/>
          <w:right w:val="nil"/>
          <w:between w:val="nil"/>
        </w:pBdr>
        <w:jc w:val="center"/>
      </w:pPr>
      <w:bookmarkStart w:id="0" w:name="_heading=h.pkl4vpho159i" w:colFirst="0" w:colLast="0"/>
      <w:bookmarkEnd w:id="0"/>
      <w:r>
        <w:t>Allegato 3 - Informativa sul trattamento dati e pubblicazione</w:t>
      </w:r>
    </w:p>
    <w:p w:rsidR="006C763B" w:rsidRDefault="006C763B">
      <w:pPr>
        <w:spacing w:after="0"/>
        <w:jc w:val="both"/>
        <w:rPr>
          <w:rFonts w:ascii="Garamond" w:eastAsia="Garamond" w:hAnsi="Garamond" w:cs="Garamond"/>
        </w:rPr>
      </w:pPr>
    </w:p>
    <w:p w:rsidR="006C763B" w:rsidRDefault="006C763B">
      <w:pPr>
        <w:pBdr>
          <w:top w:val="nil"/>
          <w:left w:val="nil"/>
          <w:bottom w:val="nil"/>
          <w:right w:val="nil"/>
          <w:between w:val="nil"/>
        </w:pBdr>
        <w:spacing w:after="120" w:line="276" w:lineRule="auto"/>
        <w:jc w:val="both"/>
        <w:rPr>
          <w:rFonts w:ascii="Garamond" w:eastAsia="Garamond" w:hAnsi="Garamond" w:cs="Garamond"/>
          <w:color w:val="000000"/>
          <w:sz w:val="24"/>
          <w:szCs w:val="24"/>
        </w:rPr>
      </w:pPr>
    </w:p>
    <w:p w:rsidR="006C763B" w:rsidRDefault="008D624A">
      <w:pPr>
        <w:rPr>
          <w:rFonts w:ascii="Garamond" w:eastAsia="Garamond" w:hAnsi="Garamond" w:cs="Garamond"/>
          <w:b/>
          <w:sz w:val="24"/>
          <w:szCs w:val="24"/>
        </w:rPr>
      </w:pPr>
      <w:r>
        <w:rPr>
          <w:rFonts w:ascii="Garamond" w:eastAsia="Garamond" w:hAnsi="Garamond" w:cs="Garamond"/>
          <w:b/>
        </w:rPr>
        <w:t xml:space="preserve">1. </w:t>
      </w:r>
      <w:r>
        <w:rPr>
          <w:rFonts w:ascii="Garamond" w:eastAsia="Garamond" w:hAnsi="Garamond" w:cs="Garamond"/>
          <w:b/>
          <w:sz w:val="24"/>
          <w:szCs w:val="24"/>
        </w:rPr>
        <w:t>Oggetto del Trattamento</w:t>
      </w:r>
    </w:p>
    <w:p w:rsidR="006C763B" w:rsidRDefault="008D624A">
      <w:pPr>
        <w:jc w:val="both"/>
        <w:rPr>
          <w:rFonts w:ascii="Garamond" w:eastAsia="Garamond" w:hAnsi="Garamond" w:cs="Garamond"/>
          <w:sz w:val="24"/>
          <w:szCs w:val="24"/>
        </w:rPr>
      </w:pPr>
      <w:r>
        <w:rPr>
          <w:rFonts w:ascii="Garamond" w:eastAsia="Garamond" w:hAnsi="Garamond" w:cs="Garamond"/>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Pr>
          <w:rFonts w:ascii="Garamond" w:eastAsia="Garamond" w:hAnsi="Garamond" w:cs="Garamond"/>
          <w:sz w:val="24"/>
          <w:szCs w:val="24"/>
        </w:rPr>
        <w:t>Protection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Regulation</w:t>
      </w:r>
      <w:proofErr w:type="spellEnd"/>
      <w:r>
        <w:rPr>
          <w:rFonts w:ascii="Garamond" w:eastAsia="Garamond" w:hAnsi="Garamond" w:cs="Garamond"/>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Garamond" w:eastAsia="Garamond" w:hAnsi="Garamond" w:cs="Garamond"/>
          <w:sz w:val="24"/>
          <w:szCs w:val="24"/>
        </w:rPr>
        <w:t>ReGiS</w:t>
      </w:r>
      <w:proofErr w:type="spellEnd"/>
      <w:r>
        <w:rPr>
          <w:rFonts w:ascii="Garamond" w:eastAsia="Garamond" w:hAnsi="Garamond" w:cs="Garamond"/>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8">
        <w:r>
          <w:rPr>
            <w:rFonts w:ascii="Garamond" w:eastAsia="Garamond" w:hAnsi="Garamond" w:cs="Garamond"/>
            <w:color w:val="0563C1"/>
            <w:sz w:val="24"/>
            <w:szCs w:val="24"/>
            <w:u w:val="single"/>
          </w:rPr>
          <w:t>www.regione.veneto.it</w:t>
        </w:r>
      </w:hyperlink>
      <w:r>
        <w:rPr>
          <w:rFonts w:ascii="Garamond" w:eastAsia="Garamond" w:hAnsi="Garamond" w:cs="Garamond"/>
          <w:sz w:val="24"/>
          <w:szCs w:val="24"/>
        </w:rPr>
        <w:t xml:space="preserve"> e </w:t>
      </w:r>
      <w:hyperlink r:id="rId9">
        <w:r>
          <w:rPr>
            <w:rFonts w:ascii="Garamond" w:eastAsia="Garamond" w:hAnsi="Garamond" w:cs="Garamond"/>
            <w:color w:val="0563C1"/>
            <w:sz w:val="24"/>
            <w:szCs w:val="24"/>
            <w:u w:val="single"/>
          </w:rPr>
          <w:t>www.cliclavoroveneto.it</w:t>
        </w:r>
      </w:hyperlink>
    </w:p>
    <w:p w:rsidR="006C763B" w:rsidRDefault="008D624A">
      <w:pPr>
        <w:jc w:val="both"/>
        <w:rPr>
          <w:rFonts w:ascii="Garamond" w:eastAsia="Garamond" w:hAnsi="Garamond" w:cs="Garamond"/>
          <w:sz w:val="24"/>
          <w:szCs w:val="24"/>
        </w:rPr>
      </w:pPr>
      <w:r>
        <w:rPr>
          <w:rFonts w:ascii="Garamond" w:eastAsia="Garamond" w:hAnsi="Garamond" w:cs="Garamond"/>
          <w:sz w:val="24"/>
          <w:szCs w:val="24"/>
        </w:rPr>
        <w:t>Il trattamento dei dati personali avviene nel rispetto della dignità umana, dei diritti e delle libertà fondamentali della persona.</w:t>
      </w:r>
    </w:p>
    <w:p w:rsidR="006C763B" w:rsidRDefault="006C763B">
      <w:pPr>
        <w:pBdr>
          <w:top w:val="nil"/>
          <w:left w:val="nil"/>
          <w:bottom w:val="nil"/>
          <w:right w:val="nil"/>
          <w:between w:val="nil"/>
        </w:pBdr>
        <w:spacing w:after="0" w:line="276" w:lineRule="auto"/>
        <w:jc w:val="both"/>
        <w:rPr>
          <w:rFonts w:ascii="Garamond" w:eastAsia="Garamond" w:hAnsi="Garamond" w:cs="Garamond"/>
          <w:color w:val="000000"/>
          <w:sz w:val="24"/>
          <w:szCs w:val="24"/>
        </w:rPr>
      </w:pPr>
    </w:p>
    <w:tbl>
      <w:tblPr>
        <w:tblStyle w:val="af"/>
        <w:tblW w:w="9816" w:type="dxa"/>
        <w:tblInd w:w="37"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779"/>
        <w:gridCol w:w="9037"/>
      </w:tblGrid>
      <w:tr w:rsidR="006C763B">
        <w:tc>
          <w:tcPr>
            <w:tcW w:w="779" w:type="dxa"/>
            <w:shd w:val="clear" w:color="auto" w:fill="2E75B5"/>
          </w:tcPr>
          <w:p w:rsidR="006C763B" w:rsidRDefault="008D624A">
            <w:pPr>
              <w:spacing w:line="276" w:lineRule="auto"/>
              <w:rPr>
                <w:rFonts w:ascii="Garamond" w:eastAsia="Garamond" w:hAnsi="Garamond" w:cs="Garamond"/>
                <w:b/>
                <w:color w:val="FFFFFF"/>
                <w:sz w:val="24"/>
                <w:szCs w:val="24"/>
              </w:rPr>
            </w:pPr>
            <w:r>
              <w:rPr>
                <w:rFonts w:ascii="Garamond" w:eastAsia="Garamond" w:hAnsi="Garamond" w:cs="Garamond"/>
                <w:b/>
                <w:noProof/>
                <w:color w:val="FFFFFF"/>
                <w:sz w:val="24"/>
                <w:szCs w:val="24"/>
              </w:rPr>
              <w:drawing>
                <wp:inline distT="0" distB="0" distL="0" distR="0">
                  <wp:extent cx="365760" cy="372110"/>
                  <wp:effectExtent l="0" t="0" r="0" b="0"/>
                  <wp:docPr id="1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65760" cy="372110"/>
                          </a:xfrm>
                          <a:prstGeom prst="rect">
                            <a:avLst/>
                          </a:prstGeom>
                          <a:ln/>
                        </pic:spPr>
                      </pic:pic>
                    </a:graphicData>
                  </a:graphic>
                </wp:inline>
              </w:drawing>
            </w:r>
          </w:p>
        </w:tc>
        <w:tc>
          <w:tcPr>
            <w:tcW w:w="9037" w:type="dxa"/>
            <w:shd w:val="clear" w:color="auto" w:fill="2E75B5"/>
          </w:tcPr>
          <w:p w:rsidR="006C763B" w:rsidRDefault="006C763B">
            <w:pPr>
              <w:spacing w:line="276" w:lineRule="auto"/>
              <w:ind w:left="529"/>
              <w:jc w:val="both"/>
              <w:rPr>
                <w:rFonts w:ascii="Garamond" w:eastAsia="Garamond" w:hAnsi="Garamond" w:cs="Garamond"/>
                <w:b/>
                <w:color w:val="FFFFFF"/>
                <w:sz w:val="8"/>
                <w:szCs w:val="8"/>
              </w:rPr>
            </w:pPr>
          </w:p>
          <w:p w:rsidR="006C763B" w:rsidRDefault="008D624A">
            <w:pPr>
              <w:spacing w:line="276" w:lineRule="auto"/>
              <w:ind w:left="317" w:hanging="283"/>
              <w:jc w:val="both"/>
              <w:rPr>
                <w:rFonts w:ascii="Garamond" w:eastAsia="Garamond" w:hAnsi="Garamond" w:cs="Garamond"/>
                <w:b/>
                <w:color w:val="FFFFFF"/>
                <w:sz w:val="24"/>
                <w:szCs w:val="24"/>
              </w:rPr>
            </w:pPr>
            <w:r>
              <w:rPr>
                <w:rFonts w:ascii="Garamond" w:eastAsia="Garamond" w:hAnsi="Garamond" w:cs="Garamond"/>
                <w:b/>
                <w:color w:val="FFFFFF"/>
                <w:sz w:val="24"/>
                <w:szCs w:val="24"/>
              </w:rPr>
              <w:t>Normativa di riferimento</w:t>
            </w:r>
          </w:p>
          <w:p w:rsidR="006C763B" w:rsidRDefault="006C763B">
            <w:pPr>
              <w:spacing w:line="276" w:lineRule="auto"/>
              <w:ind w:left="317" w:hanging="283"/>
              <w:jc w:val="both"/>
              <w:rPr>
                <w:rFonts w:ascii="Garamond" w:eastAsia="Garamond" w:hAnsi="Garamond" w:cs="Garamond"/>
                <w:b/>
                <w:color w:val="FFFFFF"/>
                <w:sz w:val="12"/>
                <w:szCs w:val="12"/>
              </w:rPr>
            </w:pPr>
          </w:p>
          <w:p w:rsidR="006C763B" w:rsidRDefault="006C763B">
            <w:pPr>
              <w:spacing w:line="276" w:lineRule="auto"/>
              <w:ind w:left="317" w:hanging="140"/>
              <w:jc w:val="both"/>
              <w:rPr>
                <w:rFonts w:ascii="Garamond" w:eastAsia="Garamond" w:hAnsi="Garamond" w:cs="Garamond"/>
                <w:b/>
                <w:color w:val="FFFFFF"/>
                <w:sz w:val="8"/>
                <w:szCs w:val="8"/>
              </w:rPr>
            </w:pPr>
          </w:p>
          <w:p w:rsidR="006C763B" w:rsidRDefault="008D624A">
            <w:pPr>
              <w:numPr>
                <w:ilvl w:val="0"/>
                <w:numId w:val="2"/>
              </w:numPr>
              <w:pBdr>
                <w:top w:val="nil"/>
                <w:left w:val="nil"/>
                <w:bottom w:val="nil"/>
                <w:right w:val="nil"/>
                <w:between w:val="nil"/>
              </w:pBdr>
              <w:spacing w:line="276" w:lineRule="auto"/>
              <w:ind w:left="743" w:hanging="426"/>
              <w:jc w:val="both"/>
              <w:rPr>
                <w:rFonts w:ascii="Garamond" w:eastAsia="Garamond" w:hAnsi="Garamond" w:cs="Garamond"/>
                <w:color w:val="FFFFFF"/>
                <w:sz w:val="24"/>
                <w:szCs w:val="24"/>
              </w:rPr>
            </w:pPr>
            <w:r>
              <w:rPr>
                <w:rFonts w:ascii="Garamond" w:eastAsia="Garamond" w:hAnsi="Garamond" w:cs="Garamond"/>
                <w:color w:val="FFFFFF"/>
                <w:sz w:val="24"/>
                <w:szCs w:val="24"/>
              </w:rPr>
              <w:t>Disposizioni contenute nel del Regolamento (UE) 2021/241 (Dispositivo per la Ripresa e la Resilienza (RRF);</w:t>
            </w:r>
          </w:p>
          <w:p w:rsidR="006C763B" w:rsidRDefault="008D624A">
            <w:pPr>
              <w:numPr>
                <w:ilvl w:val="0"/>
                <w:numId w:val="2"/>
              </w:numPr>
              <w:pBdr>
                <w:top w:val="nil"/>
                <w:left w:val="nil"/>
                <w:bottom w:val="nil"/>
                <w:right w:val="nil"/>
                <w:between w:val="nil"/>
              </w:pBdr>
              <w:spacing w:line="276" w:lineRule="auto"/>
              <w:ind w:left="743" w:hanging="426"/>
              <w:jc w:val="both"/>
              <w:rPr>
                <w:rFonts w:ascii="Garamond" w:eastAsia="Garamond" w:hAnsi="Garamond" w:cs="Garamond"/>
                <w:color w:val="FFFFFF"/>
                <w:sz w:val="24"/>
                <w:szCs w:val="24"/>
              </w:rPr>
            </w:pPr>
            <w:r>
              <w:rPr>
                <w:rFonts w:ascii="Garamond" w:eastAsia="Garamond" w:hAnsi="Garamond" w:cs="Garamond"/>
                <w:color w:val="FFFFFF"/>
                <w:sz w:val="24"/>
                <w:szCs w:val="24"/>
              </w:rPr>
              <w:t xml:space="preserve">LEGGE 29 luglio 2021, n. 108 Conversione in legge, con modificazioni, del decreto-legge 31 maggio 2021, n. 77, recante </w:t>
            </w:r>
            <w:r>
              <w:rPr>
                <w:rFonts w:ascii="Garamond" w:eastAsia="Garamond" w:hAnsi="Garamond" w:cs="Garamond"/>
                <w:i/>
                <w:color w:val="FFFFFF"/>
                <w:sz w:val="24"/>
                <w:szCs w:val="24"/>
              </w:rPr>
              <w:t>“</w:t>
            </w:r>
            <w:proofErr w:type="spellStart"/>
            <w:r>
              <w:rPr>
                <w:rFonts w:ascii="Garamond" w:eastAsia="Garamond" w:hAnsi="Garamond" w:cs="Garamond"/>
                <w:i/>
                <w:color w:val="FFFFFF"/>
                <w:sz w:val="24"/>
                <w:szCs w:val="24"/>
              </w:rPr>
              <w:t>Governance</w:t>
            </w:r>
            <w:proofErr w:type="spellEnd"/>
            <w:r>
              <w:rPr>
                <w:rFonts w:ascii="Garamond" w:eastAsia="Garamond" w:hAnsi="Garamond" w:cs="Garamond"/>
                <w:i/>
                <w:color w:val="FFFFFF"/>
                <w:sz w:val="24"/>
                <w:szCs w:val="24"/>
              </w:rPr>
              <w:t xml:space="preserve"> del Piano nazionale di ripresa e resilienza e prime misure di rafforzamento delle strutture amministrative e di accelerazione e snellimento delle procedure”.</w:t>
            </w:r>
          </w:p>
          <w:p w:rsidR="006C763B" w:rsidRDefault="008D624A">
            <w:pPr>
              <w:numPr>
                <w:ilvl w:val="0"/>
                <w:numId w:val="2"/>
              </w:numPr>
              <w:pBdr>
                <w:top w:val="nil"/>
                <w:left w:val="nil"/>
                <w:bottom w:val="nil"/>
                <w:right w:val="nil"/>
                <w:between w:val="nil"/>
              </w:pBdr>
              <w:spacing w:line="276" w:lineRule="auto"/>
              <w:ind w:left="743" w:hanging="426"/>
              <w:jc w:val="both"/>
              <w:rPr>
                <w:rFonts w:ascii="Garamond" w:eastAsia="Garamond" w:hAnsi="Garamond" w:cs="Garamond"/>
                <w:color w:val="FFFFFF"/>
                <w:sz w:val="24"/>
                <w:szCs w:val="24"/>
              </w:rPr>
            </w:pPr>
            <w:r>
              <w:rPr>
                <w:rFonts w:ascii="Garamond" w:eastAsia="Garamond" w:hAnsi="Garamond" w:cs="Garamond"/>
                <w:color w:val="FFFFFF"/>
                <w:sz w:val="24"/>
                <w:szCs w:val="24"/>
              </w:rPr>
              <w:t xml:space="preserve">Codice della Privacy (d.lgs. 196/2003) coordinato e aggiornato, da ultimo, con le modifiche apportate dalla legge 27 dicembre 2019, n. 160, dal </w:t>
            </w:r>
            <w:proofErr w:type="spellStart"/>
            <w:r>
              <w:rPr>
                <w:rFonts w:ascii="Garamond" w:eastAsia="Garamond" w:hAnsi="Garamond" w:cs="Garamond"/>
                <w:color w:val="FFFFFF"/>
                <w:sz w:val="24"/>
                <w:szCs w:val="24"/>
              </w:rPr>
              <w:t>d.l.</w:t>
            </w:r>
            <w:proofErr w:type="spellEnd"/>
            <w:r>
              <w:rPr>
                <w:rFonts w:ascii="Garamond" w:eastAsia="Garamond" w:hAnsi="Garamond" w:cs="Garamond"/>
                <w:color w:val="FFFFFF"/>
                <w:sz w:val="24"/>
                <w:szCs w:val="24"/>
              </w:rPr>
              <w:t xml:space="preserve"> 14 giugno 2019, n. 53, dal D.M. 15 marzo 2019 e dal decreto di adeguamento </w:t>
            </w:r>
            <w:proofErr w:type="spellStart"/>
            <w:r>
              <w:rPr>
                <w:rFonts w:ascii="Garamond" w:eastAsia="Garamond" w:hAnsi="Garamond" w:cs="Garamond"/>
                <w:color w:val="FFFFFF"/>
                <w:sz w:val="24"/>
                <w:szCs w:val="24"/>
              </w:rPr>
              <w:t>d.l.</w:t>
            </w:r>
            <w:proofErr w:type="spellEnd"/>
            <w:r>
              <w:rPr>
                <w:rFonts w:ascii="Garamond" w:eastAsia="Garamond" w:hAnsi="Garamond" w:cs="Garamond"/>
                <w:color w:val="FFFFFF"/>
                <w:sz w:val="24"/>
                <w:szCs w:val="24"/>
              </w:rPr>
              <w:t xml:space="preserve"> 10 agosto 2018, n. 101, alle disposizioni contenute nel Regolamento UE 2016/679 (General data </w:t>
            </w:r>
            <w:proofErr w:type="spellStart"/>
            <w:r>
              <w:rPr>
                <w:rFonts w:ascii="Garamond" w:eastAsia="Garamond" w:hAnsi="Garamond" w:cs="Garamond"/>
                <w:color w:val="FFFFFF"/>
                <w:sz w:val="24"/>
                <w:szCs w:val="24"/>
              </w:rPr>
              <w:t>protection</w:t>
            </w:r>
            <w:proofErr w:type="spellEnd"/>
            <w:r>
              <w:rPr>
                <w:rFonts w:ascii="Garamond" w:eastAsia="Garamond" w:hAnsi="Garamond" w:cs="Garamond"/>
                <w:color w:val="FFFFFF"/>
                <w:sz w:val="24"/>
                <w:szCs w:val="24"/>
              </w:rPr>
              <w:t xml:space="preserve"> </w:t>
            </w:r>
            <w:proofErr w:type="spellStart"/>
            <w:r>
              <w:rPr>
                <w:rFonts w:ascii="Garamond" w:eastAsia="Garamond" w:hAnsi="Garamond" w:cs="Garamond"/>
                <w:color w:val="FFFFFF"/>
                <w:sz w:val="24"/>
                <w:szCs w:val="24"/>
              </w:rPr>
              <w:t>regulation</w:t>
            </w:r>
            <w:proofErr w:type="spellEnd"/>
            <w:r>
              <w:rPr>
                <w:rFonts w:ascii="Garamond" w:eastAsia="Garamond" w:hAnsi="Garamond" w:cs="Garamond"/>
                <w:color w:val="FFFFFF"/>
                <w:sz w:val="24"/>
                <w:szCs w:val="24"/>
              </w:rPr>
              <w:t xml:space="preserve">, c.d. GDPR Privacy); </w:t>
            </w:r>
          </w:p>
          <w:p w:rsidR="006C763B" w:rsidRDefault="008D624A">
            <w:pPr>
              <w:numPr>
                <w:ilvl w:val="0"/>
                <w:numId w:val="2"/>
              </w:numPr>
              <w:pBdr>
                <w:top w:val="nil"/>
                <w:left w:val="nil"/>
                <w:bottom w:val="nil"/>
                <w:right w:val="nil"/>
                <w:between w:val="nil"/>
              </w:pBdr>
              <w:spacing w:after="160" w:line="276" w:lineRule="auto"/>
              <w:ind w:left="743" w:hanging="426"/>
              <w:jc w:val="both"/>
              <w:rPr>
                <w:rFonts w:ascii="Garamond" w:eastAsia="Garamond" w:hAnsi="Garamond" w:cs="Garamond"/>
                <w:color w:val="FFFFFF"/>
                <w:sz w:val="24"/>
                <w:szCs w:val="24"/>
              </w:rPr>
            </w:pPr>
            <w:r>
              <w:rPr>
                <w:rFonts w:ascii="Garamond" w:eastAsia="Garamond" w:hAnsi="Garamond" w:cs="Garamond"/>
                <w:color w:val="FFFFFF"/>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Pr>
                <w:rFonts w:ascii="Garamond" w:eastAsia="Garamond" w:hAnsi="Garamond" w:cs="Garamond"/>
                <w:color w:val="FFFFFF"/>
                <w:sz w:val="24"/>
                <w:szCs w:val="24"/>
              </w:rPr>
              <w:t>d.l.</w:t>
            </w:r>
            <w:proofErr w:type="spellEnd"/>
            <w:r>
              <w:rPr>
                <w:rFonts w:ascii="Garamond" w:eastAsia="Garamond" w:hAnsi="Garamond" w:cs="Garamond"/>
                <w:color w:val="FFFFFF"/>
                <w:sz w:val="24"/>
                <w:szCs w:val="24"/>
              </w:rPr>
              <w:t xml:space="preserve"> 14 marzo 2013, n. 33, ai sensi dell'art. 7 della legge n. 124 del 7 agosto 2015, in materia di riorganizzazione delle Amministrazioni pubbliche.</w:t>
            </w:r>
          </w:p>
        </w:tc>
      </w:tr>
    </w:tbl>
    <w:p w:rsidR="006C763B" w:rsidRDefault="006C763B">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6C763B" w:rsidRDefault="006C763B">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6C763B" w:rsidRDefault="006C763B">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6C763B" w:rsidRDefault="008D624A">
      <w:pPr>
        <w:rPr>
          <w:rFonts w:ascii="Garamond" w:eastAsia="Garamond" w:hAnsi="Garamond" w:cs="Garamond"/>
          <w:color w:val="000000"/>
          <w:sz w:val="24"/>
          <w:szCs w:val="24"/>
        </w:rPr>
      </w:pPr>
      <w:r>
        <w:br w:type="page"/>
      </w:r>
    </w:p>
    <w:p w:rsidR="006C763B" w:rsidRDefault="008D624A">
      <w:pPr>
        <w:rPr>
          <w:rFonts w:ascii="Garamond" w:eastAsia="Garamond" w:hAnsi="Garamond" w:cs="Garamond"/>
          <w:b/>
          <w:sz w:val="24"/>
          <w:szCs w:val="24"/>
        </w:rPr>
      </w:pPr>
      <w:r>
        <w:rPr>
          <w:rFonts w:ascii="Garamond" w:eastAsia="Garamond" w:hAnsi="Garamond" w:cs="Garamond"/>
          <w:b/>
        </w:rPr>
        <w:lastRenderedPageBreak/>
        <w:t xml:space="preserve">2. </w:t>
      </w:r>
      <w:r>
        <w:rPr>
          <w:rFonts w:ascii="Garamond" w:eastAsia="Garamond" w:hAnsi="Garamond" w:cs="Garamond"/>
          <w:b/>
          <w:sz w:val="24"/>
          <w:szCs w:val="24"/>
        </w:rPr>
        <w:t>Finalità del trattamento</w:t>
      </w:r>
    </w:p>
    <w:p w:rsidR="006C763B" w:rsidRDefault="008D624A">
      <w:pPr>
        <w:jc w:val="both"/>
        <w:rPr>
          <w:rFonts w:ascii="Garamond" w:eastAsia="Garamond" w:hAnsi="Garamond" w:cs="Garamond"/>
          <w:sz w:val="24"/>
          <w:szCs w:val="24"/>
        </w:rPr>
      </w:pPr>
      <w:r>
        <w:rPr>
          <w:rFonts w:ascii="Garamond" w:eastAsia="Garamond" w:hAnsi="Garamond" w:cs="Garamond"/>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Garamond" w:eastAsia="Garamond" w:hAnsi="Garamond" w:cs="Garamond"/>
          <w:sz w:val="24"/>
          <w:szCs w:val="24"/>
        </w:rPr>
        <w:t>endoprocedimentale</w:t>
      </w:r>
      <w:proofErr w:type="spellEnd"/>
      <w:r>
        <w:rPr>
          <w:rFonts w:ascii="Garamond" w:eastAsia="Garamond" w:hAnsi="Garamond" w:cs="Garamond"/>
          <w:sz w:val="24"/>
          <w:szCs w:val="24"/>
        </w:rPr>
        <w:t>, procedimentale, istruttoria e di erogazione dell’agevolazione), oltre che per assolvere eventuali obblighi di legge, contabili e fiscali.</w:t>
      </w:r>
    </w:p>
    <w:p w:rsidR="006C763B" w:rsidRDefault="008D624A">
      <w:pPr>
        <w:spacing w:before="120" w:after="120"/>
        <w:jc w:val="both"/>
        <w:rPr>
          <w:rFonts w:ascii="Garamond" w:eastAsia="Garamond" w:hAnsi="Garamond" w:cs="Garamond"/>
          <w:b/>
          <w:sz w:val="24"/>
          <w:szCs w:val="24"/>
          <w:u w:val="single"/>
        </w:rPr>
      </w:pPr>
      <w:r>
        <w:rPr>
          <w:rFonts w:ascii="Garamond" w:eastAsia="Garamond" w:hAnsi="Garamond" w:cs="Garamond"/>
          <w:b/>
          <w:sz w:val="24"/>
          <w:szCs w:val="24"/>
          <w:u w:val="single"/>
        </w:rPr>
        <w:t>Conferimento dati nell’ambito delle iniziative PNRR</w:t>
      </w:r>
    </w:p>
    <w:p w:rsidR="006C763B" w:rsidRDefault="008D624A">
      <w:pPr>
        <w:spacing w:before="120" w:after="120"/>
        <w:jc w:val="both"/>
        <w:rPr>
          <w:rFonts w:ascii="Garamond" w:eastAsia="Garamond" w:hAnsi="Garamond" w:cs="Garamond"/>
          <w:color w:val="000000"/>
          <w:sz w:val="24"/>
          <w:szCs w:val="24"/>
        </w:rPr>
      </w:pPr>
      <w:r>
        <w:rPr>
          <w:rFonts w:ascii="Garamond" w:eastAsia="Garamond" w:hAnsi="Garamond" w:cs="Garamond"/>
          <w:sz w:val="24"/>
          <w:szCs w:val="24"/>
        </w:rPr>
        <w:t xml:space="preserve">In ottemperanza alle disposizioni previste nel </w:t>
      </w:r>
      <w:r>
        <w:rPr>
          <w:rFonts w:ascii="Garamond" w:eastAsia="Garamond" w:hAnsi="Garamond" w:cs="Garamond"/>
          <w:color w:val="000000"/>
          <w:sz w:val="24"/>
          <w:szCs w:val="24"/>
        </w:rPr>
        <w:t>Dispositivo per la Ripresa e la Resilienza (RRF) e dal Decreto Legge 77 del 2021 convertito in Legge 29 luglio 2021, n. 108</w:t>
      </w:r>
      <w:r>
        <w:rPr>
          <w:rFonts w:ascii="Garamond" w:eastAsia="Garamond" w:hAnsi="Garamond" w:cs="Garamond"/>
          <w:sz w:val="24"/>
          <w:szCs w:val="24"/>
        </w:rPr>
        <w:t>:</w:t>
      </w:r>
    </w:p>
    <w:p w:rsidR="006C763B" w:rsidRDefault="008D624A">
      <w:pPr>
        <w:numPr>
          <w:ilvl w:val="0"/>
          <w:numId w:val="5"/>
        </w:numPr>
        <w:pBdr>
          <w:top w:val="nil"/>
          <w:left w:val="nil"/>
          <w:bottom w:val="nil"/>
          <w:right w:val="nil"/>
          <w:between w:val="nil"/>
        </w:pBdr>
        <w:spacing w:before="120"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al </w:t>
      </w:r>
      <w:r>
        <w:rPr>
          <w:rFonts w:ascii="Garamond" w:eastAsia="Garamond" w:hAnsi="Garamond" w:cs="Garamond"/>
          <w:b/>
          <w:color w:val="000000"/>
          <w:sz w:val="24"/>
          <w:szCs w:val="24"/>
        </w:rPr>
        <w:t>Soggetto attuatore</w:t>
      </w:r>
      <w:r>
        <w:rPr>
          <w:rFonts w:ascii="Garamond" w:eastAsia="Garamond" w:hAnsi="Garamond" w:cs="Garamond"/>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6C763B" w:rsidRDefault="008D624A">
      <w:pPr>
        <w:numPr>
          <w:ilvl w:val="0"/>
          <w:numId w:val="5"/>
        </w:numPr>
        <w:pBdr>
          <w:top w:val="nil"/>
          <w:left w:val="nil"/>
          <w:bottom w:val="nil"/>
          <w:right w:val="nil"/>
          <w:between w:val="nil"/>
        </w:pBdr>
        <w:spacing w:after="12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L’Amministrazione centrale titolare di interventi</w:t>
      </w:r>
      <w:r>
        <w:rPr>
          <w:rFonts w:ascii="Garamond" w:eastAsia="Garamond" w:hAnsi="Garamond" w:cs="Garamond"/>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w:t>
      </w:r>
      <w:proofErr w:type="spellStart"/>
      <w:r>
        <w:rPr>
          <w:rFonts w:ascii="Garamond" w:eastAsia="Garamond" w:hAnsi="Garamond" w:cs="Garamond"/>
          <w:color w:val="000000"/>
          <w:sz w:val="24"/>
          <w:szCs w:val="24"/>
        </w:rPr>
        <w:t>milestone</w:t>
      </w:r>
      <w:proofErr w:type="spellEnd"/>
      <w:r>
        <w:rPr>
          <w:rFonts w:ascii="Garamond" w:eastAsia="Garamond" w:hAnsi="Garamond" w:cs="Garamond"/>
          <w:color w:val="000000"/>
          <w:sz w:val="24"/>
          <w:szCs w:val="24"/>
        </w:rPr>
        <w:t xml:space="preserve"> e target, nonché di tutti gli ulteriori elementi informativi necessari per la rendicontazione alla Commissione Europea, attraverso le specifiche funzionalità del sistema informatico </w:t>
      </w:r>
      <w:proofErr w:type="spellStart"/>
      <w:r>
        <w:rPr>
          <w:rFonts w:ascii="Garamond" w:eastAsia="Garamond" w:hAnsi="Garamond" w:cs="Garamond"/>
          <w:color w:val="000000"/>
          <w:sz w:val="24"/>
          <w:szCs w:val="24"/>
        </w:rPr>
        <w:t>ReGiS</w:t>
      </w:r>
      <w:proofErr w:type="spellEnd"/>
      <w:r>
        <w:rPr>
          <w:rFonts w:ascii="Garamond" w:eastAsia="Garamond" w:hAnsi="Garamond" w:cs="Garamond"/>
          <w:color w:val="000000"/>
          <w:sz w:val="24"/>
          <w:szCs w:val="24"/>
        </w:rPr>
        <w:t>,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w:t>
      </w:r>
      <w:bookmarkStart w:id="1" w:name="_GoBack"/>
      <w:bookmarkEnd w:id="1"/>
      <w:r>
        <w:rPr>
          <w:rFonts w:ascii="Garamond" w:eastAsia="Garamond" w:hAnsi="Garamond" w:cs="Garamond"/>
          <w:color w:val="000000"/>
          <w:sz w:val="24"/>
          <w:szCs w:val="24"/>
        </w:rPr>
        <w:t xml:space="preserve">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6C763B" w:rsidRDefault="008D624A">
      <w:pPr>
        <w:pBdr>
          <w:top w:val="nil"/>
          <w:left w:val="nil"/>
          <w:bottom w:val="nil"/>
          <w:right w:val="nil"/>
          <w:between w:val="nil"/>
        </w:pBdr>
        <w:spacing w:after="120" w:line="240" w:lineRule="auto"/>
        <w:jc w:val="both"/>
        <w:rPr>
          <w:rFonts w:ascii="Garamond" w:eastAsia="Garamond" w:hAnsi="Garamond" w:cs="Garamond"/>
          <w:color w:val="000000"/>
          <w:sz w:val="24"/>
          <w:szCs w:val="24"/>
        </w:rPr>
      </w:pPr>
      <w:r w:rsidRPr="001A6728">
        <w:rPr>
          <w:rFonts w:ascii="Garamond" w:eastAsia="Garamond" w:hAnsi="Garamond" w:cs="Garamond"/>
          <w:color w:val="000000"/>
          <w:sz w:val="24"/>
          <w:szCs w:val="24"/>
        </w:rPr>
        <w:t xml:space="preserve">Il conferimento dei dati è necessario con riferimento alle modalità di cui agli artt. 38, 46 e 47 del D.P.R. n. 445/2000 per l’adempimento di obblighi di legge, previsti da normative regionali, nazionali ed europee, e per la presentazione di </w:t>
      </w:r>
      <w:r w:rsidR="004E6567" w:rsidRPr="001A6728">
        <w:rPr>
          <w:rFonts w:ascii="Garamond" w:eastAsia="Garamond" w:hAnsi="Garamond" w:cs="Garamond"/>
          <w:color w:val="000000"/>
          <w:sz w:val="24"/>
          <w:szCs w:val="24"/>
        </w:rPr>
        <w:t>proposte formative a valere sul</w:t>
      </w:r>
      <w:r w:rsidRPr="001A6728">
        <w:rPr>
          <w:rFonts w:ascii="Garamond" w:eastAsia="Garamond" w:hAnsi="Garamond" w:cs="Garamond"/>
          <w:color w:val="000000"/>
          <w:sz w:val="24"/>
          <w:szCs w:val="24"/>
        </w:rPr>
        <w:t xml:space="preserve"> Percorso </w:t>
      </w:r>
      <w:r w:rsidR="00F21457" w:rsidRPr="001A6728">
        <w:rPr>
          <w:rFonts w:ascii="Garamond" w:eastAsia="Garamond" w:hAnsi="Garamond" w:cs="Garamond"/>
          <w:color w:val="000000"/>
          <w:sz w:val="24"/>
          <w:szCs w:val="24"/>
        </w:rPr>
        <w:t>3</w:t>
      </w:r>
      <w:r w:rsidRPr="001A6728">
        <w:rPr>
          <w:rFonts w:ascii="Garamond" w:eastAsia="Garamond" w:hAnsi="Garamond" w:cs="Garamond"/>
          <w:color w:val="000000"/>
          <w:sz w:val="24"/>
          <w:szCs w:val="24"/>
        </w:rPr>
        <w:t xml:space="preserve"> – </w:t>
      </w:r>
      <w:r w:rsidR="00F21457" w:rsidRPr="001A6728">
        <w:rPr>
          <w:rFonts w:ascii="Garamond" w:eastAsia="Garamond" w:hAnsi="Garamond" w:cs="Garamond"/>
          <w:color w:val="000000"/>
          <w:sz w:val="24"/>
          <w:szCs w:val="24"/>
        </w:rPr>
        <w:t>Riqualificazione</w:t>
      </w:r>
      <w:r w:rsidRPr="001A6728">
        <w:rPr>
          <w:rFonts w:ascii="Garamond" w:eastAsia="Garamond" w:hAnsi="Garamond" w:cs="Garamond"/>
          <w:color w:val="000000"/>
          <w:sz w:val="24"/>
          <w:szCs w:val="24"/>
        </w:rPr>
        <w:t xml:space="preserve"> (</w:t>
      </w:r>
      <w:r w:rsidR="00F21457" w:rsidRPr="001A6728">
        <w:rPr>
          <w:rFonts w:ascii="Garamond" w:eastAsia="Garamond" w:hAnsi="Garamond" w:cs="Garamond"/>
          <w:i/>
          <w:color w:val="000000"/>
          <w:sz w:val="24"/>
          <w:szCs w:val="24"/>
        </w:rPr>
        <w:t>Re</w:t>
      </w:r>
      <w:r w:rsidRPr="001A6728">
        <w:rPr>
          <w:rFonts w:ascii="Garamond" w:eastAsia="Garamond" w:hAnsi="Garamond" w:cs="Garamond"/>
          <w:i/>
          <w:color w:val="000000"/>
          <w:sz w:val="24"/>
          <w:szCs w:val="24"/>
        </w:rPr>
        <w:t>skilling</w:t>
      </w:r>
      <w:r w:rsidRPr="001A6728">
        <w:rPr>
          <w:rFonts w:ascii="Garamond" w:eastAsia="Garamond" w:hAnsi="Garamond" w:cs="Garamond"/>
          <w:color w:val="000000"/>
          <w:sz w:val="24"/>
          <w:szCs w:val="24"/>
        </w:rPr>
        <w:t>). Il mancato conferimento dei dati personali non consentirà la partecipazione al suddetto avviso.</w:t>
      </w:r>
    </w:p>
    <w:p w:rsidR="006C763B" w:rsidRDefault="006C763B">
      <w:pPr>
        <w:pBdr>
          <w:top w:val="nil"/>
          <w:left w:val="nil"/>
          <w:bottom w:val="nil"/>
          <w:right w:val="nil"/>
          <w:between w:val="nil"/>
        </w:pBdr>
        <w:spacing w:after="120" w:line="240" w:lineRule="auto"/>
        <w:jc w:val="both"/>
        <w:rPr>
          <w:rFonts w:ascii="Garamond" w:eastAsia="Garamond" w:hAnsi="Garamond" w:cs="Garamond"/>
          <w:color w:val="000000"/>
          <w:sz w:val="24"/>
          <w:szCs w:val="24"/>
        </w:rPr>
      </w:pPr>
    </w:p>
    <w:p w:rsidR="006C763B" w:rsidRDefault="008D624A">
      <w:pPr>
        <w:widowControl w:val="0"/>
        <w:pBdr>
          <w:top w:val="nil"/>
          <w:left w:val="nil"/>
          <w:bottom w:val="nil"/>
          <w:right w:val="nil"/>
          <w:between w:val="nil"/>
        </w:pBdr>
        <w:spacing w:after="0" w:line="240"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Tipologie di dati conferiti</w:t>
      </w:r>
    </w:p>
    <w:p w:rsidR="006C763B" w:rsidRDefault="008D624A">
      <w:pPr>
        <w:spacing w:before="120"/>
        <w:jc w:val="both"/>
        <w:rPr>
          <w:rFonts w:ascii="Garamond" w:eastAsia="Garamond" w:hAnsi="Garamond" w:cs="Garamond"/>
          <w:sz w:val="24"/>
          <w:szCs w:val="24"/>
        </w:rPr>
      </w:pPr>
      <w:r>
        <w:rPr>
          <w:rFonts w:ascii="Garamond" w:eastAsia="Garamond" w:hAnsi="Garamond" w:cs="Garamond"/>
          <w:sz w:val="24"/>
          <w:szCs w:val="24"/>
        </w:rPr>
        <w:t>Per realizzare gli adempimenti sopra descritti,</w:t>
      </w:r>
      <w:r>
        <w:rPr>
          <w:rFonts w:ascii="Garamond" w:eastAsia="Garamond" w:hAnsi="Garamond" w:cs="Garamond"/>
          <w:color w:val="000000"/>
          <w:sz w:val="24"/>
          <w:szCs w:val="24"/>
        </w:rPr>
        <w:t xml:space="preserve"> i Soggetti Attuatori </w:t>
      </w:r>
      <w:r>
        <w:rPr>
          <w:rFonts w:ascii="Garamond" w:eastAsia="Garamond" w:hAnsi="Garamond" w:cs="Garamond"/>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Garamond" w:eastAsia="Garamond" w:hAnsi="Garamond" w:cs="Garamond"/>
          <w:sz w:val="24"/>
          <w:szCs w:val="24"/>
        </w:rPr>
        <w:t>s.m.i.</w:t>
      </w:r>
      <w:proofErr w:type="spellEnd"/>
      <w:r>
        <w:rPr>
          <w:rFonts w:ascii="Garamond" w:eastAsia="Garamond" w:hAnsi="Garamond" w:cs="Garamond"/>
          <w:sz w:val="24"/>
          <w:szCs w:val="24"/>
        </w:rPr>
        <w:t xml:space="preserve"> di cui alla Circolare MEF n. 18 del 30 aprile 2014 revisionato sulla base delle specificità attuative del PNRR e comunicato tramite apposita nota circolare del Servizio Centrale per il PNRR. </w:t>
      </w:r>
    </w:p>
    <w:p w:rsidR="006C763B" w:rsidRDefault="008D624A">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A titolo non esaustivo si indicano le principali informazioni oggetto di rilevazione: </w:t>
      </w:r>
    </w:p>
    <w:p w:rsidR="006C763B" w:rsidRDefault="008D624A">
      <w:pPr>
        <w:numPr>
          <w:ilvl w:val="0"/>
          <w:numId w:val="3"/>
        </w:numPr>
        <w:pBdr>
          <w:top w:val="nil"/>
          <w:left w:val="nil"/>
          <w:bottom w:val="nil"/>
          <w:right w:val="nil"/>
          <w:between w:val="nil"/>
        </w:pBdr>
        <w:spacing w:before="120"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dati anagrafici del progetto e classificazioni identificative, quali CUP, CIG, identificativo del progetto, riferimenti alla Missione/Componente/Misura di riferimento, identificativo del Soggetto attuatore, tipologia di progetto, localizzazione;</w:t>
      </w:r>
    </w:p>
    <w:p w:rsidR="006C763B" w:rsidRDefault="008D624A">
      <w:pPr>
        <w:numPr>
          <w:ilvl w:val="0"/>
          <w:numId w:val="3"/>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dati relativi ai soggetti coinvolti nell’attuazione, quali i Soggetti attuatori, realizzatori, destinatari degli interventi, incluso codice fiscale e/o partita IVA;</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procedurali, quali cronoprogramma e </w:t>
      </w:r>
      <w:proofErr w:type="spellStart"/>
      <w:r>
        <w:rPr>
          <w:rFonts w:ascii="Garamond" w:eastAsia="Garamond" w:hAnsi="Garamond" w:cs="Garamond"/>
          <w:i/>
          <w:color w:val="000000"/>
          <w:sz w:val="24"/>
          <w:szCs w:val="24"/>
        </w:rPr>
        <w:t>step</w:t>
      </w:r>
      <w:proofErr w:type="spellEnd"/>
      <w:r>
        <w:rPr>
          <w:rFonts w:ascii="Garamond" w:eastAsia="Garamond" w:hAnsi="Garamond" w:cs="Garamond"/>
          <w:color w:val="000000"/>
          <w:sz w:val="24"/>
          <w:szCs w:val="24"/>
        </w:rPr>
        <w:t xml:space="preserve"> relativi alle diverse procedure di gara (es: affidamento lavori, acquisto beni e servizi) con indicazione della relativa tempistica e delle pertinenti voci di spesa;</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fisici, (previsti e realizzati) quali indicatori di output (progressi compiuti) e di </w:t>
      </w:r>
      <w:proofErr w:type="spellStart"/>
      <w:r>
        <w:rPr>
          <w:rFonts w:ascii="Garamond" w:eastAsia="Garamond" w:hAnsi="Garamond" w:cs="Garamond"/>
          <w:color w:val="000000"/>
          <w:sz w:val="24"/>
          <w:szCs w:val="24"/>
        </w:rPr>
        <w:t>outcome</w:t>
      </w:r>
      <w:proofErr w:type="spellEnd"/>
      <w:r>
        <w:rPr>
          <w:rFonts w:ascii="Garamond" w:eastAsia="Garamond" w:hAnsi="Garamond" w:cs="Garamond"/>
          <w:color w:val="000000"/>
          <w:sz w:val="24"/>
          <w:szCs w:val="24"/>
        </w:rPr>
        <w:t xml:space="preserve"> (effetti generati) attraverso la valorizzazione di un set di indicatori specifico e la raccolta e catalogazione di documentazione a supporto;</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livello di conseguimento di </w:t>
      </w:r>
      <w:proofErr w:type="spellStart"/>
      <w:r>
        <w:rPr>
          <w:rFonts w:ascii="Garamond" w:eastAsia="Garamond" w:hAnsi="Garamond" w:cs="Garamond"/>
          <w:i/>
          <w:color w:val="000000"/>
          <w:sz w:val="24"/>
          <w:szCs w:val="24"/>
        </w:rPr>
        <w:t>milestone</w:t>
      </w:r>
      <w:proofErr w:type="spellEnd"/>
      <w:r>
        <w:rPr>
          <w:rFonts w:ascii="Garamond" w:eastAsia="Garamond" w:hAnsi="Garamond" w:cs="Garamond"/>
          <w:color w:val="000000"/>
          <w:sz w:val="24"/>
          <w:szCs w:val="24"/>
        </w:rPr>
        <w:t xml:space="preserve"> e </w:t>
      </w:r>
      <w:r>
        <w:rPr>
          <w:rFonts w:ascii="Garamond" w:eastAsia="Garamond" w:hAnsi="Garamond" w:cs="Garamond"/>
          <w:i/>
          <w:color w:val="000000"/>
          <w:sz w:val="24"/>
          <w:szCs w:val="24"/>
        </w:rPr>
        <w:t>target</w:t>
      </w:r>
      <w:r>
        <w:rPr>
          <w:rFonts w:ascii="Garamond" w:eastAsia="Garamond" w:hAnsi="Garamond" w:cs="Garamond"/>
          <w:color w:val="000000"/>
          <w:sz w:val="24"/>
          <w:szCs w:val="24"/>
        </w:rPr>
        <w:t>, per gli interventi che concorrono al loro raggiungimento;</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relativi all’aggiornamento trimestrale relativo all’analisi degli scostamenti per ciascuna M&amp;T prevista nel Piano; </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elementi utili alla verifica del contributo all’obiettivo digitale e all’obiettivo sulla mitigazione del cambiamento climatico;</w:t>
      </w:r>
    </w:p>
    <w:p w:rsidR="006C763B" w:rsidRDefault="008D624A">
      <w:pPr>
        <w:numPr>
          <w:ilvl w:val="0"/>
          <w:numId w:val="4"/>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elementi utili alla verifica del soddisfacimento del requisito “</w:t>
      </w:r>
      <w:r>
        <w:rPr>
          <w:rFonts w:ascii="Garamond" w:eastAsia="Garamond" w:hAnsi="Garamond" w:cs="Garamond"/>
          <w:i/>
          <w:color w:val="000000"/>
          <w:sz w:val="24"/>
          <w:szCs w:val="24"/>
        </w:rPr>
        <w:t xml:space="preserve">Do No </w:t>
      </w:r>
      <w:proofErr w:type="spellStart"/>
      <w:r>
        <w:rPr>
          <w:rFonts w:ascii="Garamond" w:eastAsia="Garamond" w:hAnsi="Garamond" w:cs="Garamond"/>
          <w:i/>
          <w:color w:val="000000"/>
          <w:sz w:val="24"/>
          <w:szCs w:val="24"/>
        </w:rPr>
        <w:t>Significant</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Harm</w:t>
      </w:r>
      <w:proofErr w:type="spellEnd"/>
      <w:r>
        <w:rPr>
          <w:rFonts w:ascii="Garamond" w:eastAsia="Garamond" w:hAnsi="Garamond" w:cs="Garamond"/>
          <w:i/>
          <w:color w:val="000000"/>
          <w:sz w:val="24"/>
          <w:szCs w:val="24"/>
        </w:rPr>
        <w:t xml:space="preserve"> (DNSH)</w:t>
      </w:r>
      <w:r>
        <w:rPr>
          <w:rFonts w:ascii="Garamond" w:eastAsia="Garamond" w:hAnsi="Garamond" w:cs="Garamond"/>
          <w:color w:val="000000"/>
          <w:sz w:val="24"/>
          <w:szCs w:val="24"/>
        </w:rPr>
        <w:t>”;</w:t>
      </w:r>
    </w:p>
    <w:p w:rsidR="006C763B" w:rsidRPr="00E80C74" w:rsidRDefault="008D624A" w:rsidP="00FA16C4">
      <w:pPr>
        <w:numPr>
          <w:ilvl w:val="0"/>
          <w:numId w:val="4"/>
        </w:numPr>
        <w:pBdr>
          <w:top w:val="nil"/>
          <w:left w:val="nil"/>
          <w:bottom w:val="nil"/>
          <w:right w:val="nil"/>
          <w:between w:val="nil"/>
        </w:pBdr>
        <w:spacing w:after="120" w:line="276" w:lineRule="auto"/>
        <w:jc w:val="both"/>
        <w:rPr>
          <w:rFonts w:ascii="Garamond" w:eastAsia="Garamond" w:hAnsi="Garamond" w:cs="Garamond"/>
          <w:color w:val="000000"/>
          <w:sz w:val="24"/>
          <w:szCs w:val="24"/>
        </w:rPr>
      </w:pPr>
      <w:r w:rsidRPr="00E80C74">
        <w:rPr>
          <w:rFonts w:ascii="Garamond" w:eastAsia="Garamond" w:hAnsi="Garamond" w:cs="Garamond"/>
          <w:color w:val="000000"/>
          <w:sz w:val="24"/>
          <w:szCs w:val="24"/>
        </w:rPr>
        <w:t>atti e documentazione probatoria dell’avanzamento attuativo di progetto.</w:t>
      </w:r>
    </w:p>
    <w:tbl>
      <w:tblPr>
        <w:tblStyle w:val="af0"/>
        <w:tblW w:w="9778" w:type="dxa"/>
        <w:tblInd w:w="37"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63"/>
        <w:gridCol w:w="8715"/>
      </w:tblGrid>
      <w:tr w:rsidR="006C763B">
        <w:tc>
          <w:tcPr>
            <w:tcW w:w="1063" w:type="dxa"/>
            <w:shd w:val="clear" w:color="auto" w:fill="2E75B5"/>
          </w:tcPr>
          <w:p w:rsidR="006C763B" w:rsidRDefault="008D624A">
            <w:pPr>
              <w:rPr>
                <w:rFonts w:ascii="Garamond" w:eastAsia="Garamond" w:hAnsi="Garamond" w:cs="Garamond"/>
                <w:b/>
                <w:sz w:val="24"/>
                <w:szCs w:val="24"/>
              </w:rPr>
            </w:pPr>
            <w:r>
              <w:rPr>
                <w:rFonts w:ascii="Garamond" w:eastAsia="Garamond" w:hAnsi="Garamond" w:cs="Garamond"/>
                <w:b/>
                <w:noProof/>
                <w:sz w:val="24"/>
                <w:szCs w:val="24"/>
              </w:rPr>
              <w:drawing>
                <wp:inline distT="0" distB="0" distL="0" distR="0">
                  <wp:extent cx="365760" cy="372110"/>
                  <wp:effectExtent l="0" t="0" r="0" b="0"/>
                  <wp:docPr id="1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65760" cy="372110"/>
                          </a:xfrm>
                          <a:prstGeom prst="rect">
                            <a:avLst/>
                          </a:prstGeom>
                          <a:ln/>
                        </pic:spPr>
                      </pic:pic>
                    </a:graphicData>
                  </a:graphic>
                </wp:inline>
              </w:drawing>
            </w:r>
          </w:p>
        </w:tc>
        <w:tc>
          <w:tcPr>
            <w:tcW w:w="8715" w:type="dxa"/>
            <w:shd w:val="clear" w:color="auto" w:fill="2E75B5"/>
          </w:tcPr>
          <w:p w:rsidR="006C763B" w:rsidRDefault="008D624A">
            <w:pPr>
              <w:ind w:hanging="108"/>
              <w:jc w:val="both"/>
              <w:rPr>
                <w:rFonts w:ascii="Garamond" w:eastAsia="Garamond" w:hAnsi="Garamond" w:cs="Garamond"/>
                <w:b/>
                <w:color w:val="FFFFFF"/>
                <w:sz w:val="24"/>
                <w:szCs w:val="24"/>
              </w:rPr>
            </w:pPr>
            <w:r>
              <w:rPr>
                <w:rFonts w:ascii="Garamond" w:eastAsia="Garamond" w:hAnsi="Garamond" w:cs="Garamond"/>
                <w:b/>
                <w:color w:val="FFFFFF"/>
                <w:sz w:val="24"/>
                <w:szCs w:val="24"/>
              </w:rPr>
              <w:t>Amministrazioni centrali titolari di interventi PNRR</w:t>
            </w:r>
          </w:p>
          <w:p w:rsidR="006C763B" w:rsidRDefault="006C763B">
            <w:pPr>
              <w:jc w:val="both"/>
              <w:rPr>
                <w:rFonts w:ascii="Garamond" w:eastAsia="Garamond" w:hAnsi="Garamond" w:cs="Garamond"/>
                <w:b/>
                <w:color w:val="FFFFFF"/>
                <w:sz w:val="8"/>
                <w:szCs w:val="8"/>
              </w:rPr>
            </w:pPr>
          </w:p>
          <w:p w:rsidR="006C763B" w:rsidRDefault="008D624A">
            <w:pPr>
              <w:jc w:val="both"/>
              <w:rPr>
                <w:rFonts w:ascii="Garamond" w:eastAsia="Garamond" w:hAnsi="Garamond" w:cs="Garamond"/>
                <w:i/>
                <w:color w:val="FFFFFF"/>
                <w:sz w:val="24"/>
                <w:szCs w:val="24"/>
              </w:rPr>
            </w:pPr>
            <w:r>
              <w:rPr>
                <w:rFonts w:ascii="Garamond" w:eastAsia="Garamond" w:hAnsi="Garamond" w:cs="Garamond"/>
                <w:i/>
                <w:color w:val="FFFFFF"/>
                <w:sz w:val="24"/>
                <w:szCs w:val="24"/>
              </w:rPr>
              <w:t>Ministeri e strutture della Presidenza del Consiglio dei ministri responsabili dell'attuazione delle riforme e degli investimenti (ossia delle Misure) previsti nel PNRR</w:t>
            </w:r>
          </w:p>
          <w:p w:rsidR="006C763B" w:rsidRDefault="006C763B">
            <w:pPr>
              <w:pBdr>
                <w:top w:val="nil"/>
                <w:left w:val="nil"/>
                <w:bottom w:val="nil"/>
                <w:right w:val="nil"/>
                <w:between w:val="nil"/>
              </w:pBdr>
              <w:jc w:val="both"/>
              <w:rPr>
                <w:rFonts w:ascii="Garamond" w:eastAsia="Garamond" w:hAnsi="Garamond" w:cs="Garamond"/>
                <w:b/>
                <w:color w:val="FFFFFF"/>
                <w:sz w:val="24"/>
                <w:szCs w:val="24"/>
              </w:rPr>
            </w:pPr>
          </w:p>
          <w:p w:rsidR="006C763B" w:rsidRDefault="008D624A">
            <w:pPr>
              <w:pBdr>
                <w:top w:val="nil"/>
                <w:left w:val="nil"/>
                <w:bottom w:val="nil"/>
                <w:right w:val="nil"/>
                <w:between w:val="nil"/>
              </w:pBdr>
              <w:ind w:hanging="108"/>
              <w:jc w:val="both"/>
              <w:rPr>
                <w:rFonts w:ascii="Garamond" w:eastAsia="Garamond" w:hAnsi="Garamond" w:cs="Garamond"/>
                <w:b/>
                <w:color w:val="FFFFFF"/>
                <w:sz w:val="24"/>
                <w:szCs w:val="24"/>
              </w:rPr>
            </w:pPr>
            <w:r>
              <w:rPr>
                <w:rFonts w:ascii="Garamond" w:eastAsia="Garamond" w:hAnsi="Garamond" w:cs="Garamond"/>
                <w:b/>
                <w:color w:val="FFFFFF"/>
                <w:sz w:val="24"/>
                <w:szCs w:val="24"/>
              </w:rPr>
              <w:t>Soggetto attuatore</w:t>
            </w:r>
          </w:p>
          <w:p w:rsidR="006C763B" w:rsidRDefault="006C763B">
            <w:pPr>
              <w:pBdr>
                <w:top w:val="nil"/>
                <w:left w:val="nil"/>
                <w:bottom w:val="nil"/>
                <w:right w:val="nil"/>
                <w:between w:val="nil"/>
              </w:pBdr>
              <w:jc w:val="both"/>
              <w:rPr>
                <w:rFonts w:ascii="Garamond" w:eastAsia="Garamond" w:hAnsi="Garamond" w:cs="Garamond"/>
                <w:b/>
                <w:color w:val="FFFFFF"/>
                <w:sz w:val="8"/>
                <w:szCs w:val="8"/>
              </w:rPr>
            </w:pPr>
          </w:p>
          <w:p w:rsidR="006C763B" w:rsidRDefault="008D624A">
            <w:pPr>
              <w:jc w:val="both"/>
              <w:rPr>
                <w:rFonts w:ascii="Garamond" w:eastAsia="Garamond" w:hAnsi="Garamond" w:cs="Garamond"/>
                <w:i/>
                <w:color w:val="FFFFFF"/>
                <w:sz w:val="24"/>
                <w:szCs w:val="24"/>
              </w:rPr>
            </w:pPr>
            <w:r>
              <w:rPr>
                <w:rFonts w:ascii="Garamond" w:eastAsia="Garamond" w:hAnsi="Garamond" w:cs="Garamond"/>
                <w:i/>
                <w:color w:val="FFFFFF"/>
                <w:sz w:val="24"/>
                <w:szCs w:val="24"/>
              </w:rPr>
              <w:t>Soggetto pubblico o privato responsabile dell’attuazione dell’intervento/progetto finanziato dal PNRR.</w:t>
            </w:r>
          </w:p>
          <w:p w:rsidR="006C763B" w:rsidRDefault="006C763B">
            <w:pPr>
              <w:jc w:val="both"/>
              <w:rPr>
                <w:rFonts w:ascii="Garamond" w:eastAsia="Garamond" w:hAnsi="Garamond" w:cs="Garamond"/>
                <w:i/>
                <w:color w:val="FFFFFF"/>
                <w:sz w:val="8"/>
                <w:szCs w:val="8"/>
              </w:rPr>
            </w:pPr>
          </w:p>
          <w:p w:rsidR="006C763B" w:rsidRDefault="008D624A">
            <w:pPr>
              <w:jc w:val="both"/>
              <w:rPr>
                <w:rFonts w:ascii="Garamond" w:eastAsia="Garamond" w:hAnsi="Garamond" w:cs="Garamond"/>
                <w:i/>
                <w:color w:val="FFFFFF"/>
                <w:sz w:val="24"/>
                <w:szCs w:val="24"/>
              </w:rPr>
            </w:pPr>
            <w:r>
              <w:rPr>
                <w:rFonts w:ascii="Garamond" w:eastAsia="Garamond" w:hAnsi="Garamond" w:cs="Garamond"/>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6C763B" w:rsidRDefault="006C763B">
            <w:pPr>
              <w:jc w:val="both"/>
              <w:rPr>
                <w:rFonts w:ascii="Garamond" w:eastAsia="Garamond" w:hAnsi="Garamond" w:cs="Garamond"/>
                <w:i/>
                <w:color w:val="FFFFFF"/>
                <w:sz w:val="24"/>
                <w:szCs w:val="24"/>
              </w:rPr>
            </w:pPr>
          </w:p>
          <w:p w:rsidR="006C763B" w:rsidRDefault="008D624A">
            <w:pPr>
              <w:ind w:hanging="108"/>
              <w:jc w:val="both"/>
              <w:rPr>
                <w:rFonts w:ascii="Garamond" w:eastAsia="Garamond" w:hAnsi="Garamond" w:cs="Garamond"/>
                <w:b/>
                <w:color w:val="FFFFFF"/>
                <w:sz w:val="24"/>
                <w:szCs w:val="24"/>
              </w:rPr>
            </w:pPr>
            <w:r>
              <w:rPr>
                <w:rFonts w:ascii="Garamond" w:eastAsia="Garamond" w:hAnsi="Garamond" w:cs="Garamond"/>
                <w:b/>
                <w:color w:val="FFFFFF"/>
                <w:sz w:val="24"/>
                <w:szCs w:val="24"/>
              </w:rPr>
              <w:t>Soggetto realizzatore o soggetto esecutore</w:t>
            </w:r>
          </w:p>
          <w:p w:rsidR="006C763B" w:rsidRDefault="006C763B">
            <w:pPr>
              <w:jc w:val="both"/>
              <w:rPr>
                <w:rFonts w:ascii="Garamond" w:eastAsia="Garamond" w:hAnsi="Garamond" w:cs="Garamond"/>
                <w:b/>
                <w:color w:val="FFFFFF"/>
                <w:sz w:val="8"/>
                <w:szCs w:val="8"/>
              </w:rPr>
            </w:pPr>
          </w:p>
          <w:p w:rsidR="006C763B" w:rsidRDefault="008D624A">
            <w:pPr>
              <w:spacing w:line="257" w:lineRule="auto"/>
              <w:jc w:val="both"/>
              <w:rPr>
                <w:rFonts w:ascii="Garamond" w:eastAsia="Garamond" w:hAnsi="Garamond" w:cs="Garamond"/>
                <w:i/>
                <w:color w:val="FFFFFF"/>
                <w:sz w:val="24"/>
                <w:szCs w:val="24"/>
              </w:rPr>
            </w:pPr>
            <w:r>
              <w:rPr>
                <w:rFonts w:ascii="Garamond" w:eastAsia="Garamond" w:hAnsi="Garamond" w:cs="Garamond"/>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6C763B" w:rsidRDefault="006C763B">
            <w:pPr>
              <w:spacing w:line="257" w:lineRule="auto"/>
              <w:jc w:val="both"/>
              <w:rPr>
                <w:rFonts w:ascii="Garamond" w:eastAsia="Garamond" w:hAnsi="Garamond" w:cs="Garamond"/>
                <w:i/>
                <w:color w:val="FFFFFF"/>
                <w:sz w:val="24"/>
                <w:szCs w:val="24"/>
              </w:rPr>
            </w:pPr>
          </w:p>
          <w:p w:rsidR="006C763B" w:rsidRDefault="008D624A">
            <w:pPr>
              <w:spacing w:line="257" w:lineRule="auto"/>
              <w:ind w:hanging="108"/>
              <w:jc w:val="both"/>
              <w:rPr>
                <w:rFonts w:ascii="Garamond" w:eastAsia="Garamond" w:hAnsi="Garamond" w:cs="Garamond"/>
                <w:b/>
                <w:color w:val="FFFFFF"/>
                <w:sz w:val="24"/>
                <w:szCs w:val="24"/>
              </w:rPr>
            </w:pPr>
            <w:r>
              <w:rPr>
                <w:rFonts w:ascii="Garamond" w:eastAsia="Garamond" w:hAnsi="Garamond" w:cs="Garamond"/>
                <w:b/>
                <w:color w:val="FFFFFF"/>
                <w:sz w:val="24"/>
                <w:szCs w:val="24"/>
              </w:rPr>
              <w:t>Soggetto destinatario</w:t>
            </w:r>
          </w:p>
          <w:p w:rsidR="006C763B" w:rsidRDefault="006C763B">
            <w:pPr>
              <w:spacing w:line="257" w:lineRule="auto"/>
              <w:jc w:val="both"/>
              <w:rPr>
                <w:rFonts w:ascii="Garamond" w:eastAsia="Garamond" w:hAnsi="Garamond" w:cs="Garamond"/>
                <w:b/>
                <w:color w:val="FFFFFF"/>
                <w:sz w:val="8"/>
                <w:szCs w:val="8"/>
              </w:rPr>
            </w:pPr>
          </w:p>
          <w:p w:rsidR="006C763B" w:rsidRDefault="008D624A">
            <w:pPr>
              <w:jc w:val="both"/>
              <w:rPr>
                <w:rFonts w:ascii="Garamond" w:eastAsia="Garamond" w:hAnsi="Garamond" w:cs="Garamond"/>
                <w:i/>
                <w:color w:val="FFFFFF"/>
                <w:sz w:val="24"/>
                <w:szCs w:val="24"/>
              </w:rPr>
            </w:pPr>
            <w:r>
              <w:rPr>
                <w:rFonts w:ascii="Garamond" w:eastAsia="Garamond" w:hAnsi="Garamond" w:cs="Garamond"/>
                <w:i/>
                <w:color w:val="FFFFFF"/>
                <w:sz w:val="24"/>
                <w:szCs w:val="24"/>
              </w:rPr>
              <w:t>Soggetto destinatario finale dei fondi (es. Impresa, individuo, famiglia, amministrazione pubblica ecc.).</w:t>
            </w:r>
          </w:p>
          <w:p w:rsidR="006C763B" w:rsidRDefault="006C763B">
            <w:pPr>
              <w:jc w:val="both"/>
              <w:rPr>
                <w:rFonts w:ascii="Garamond" w:eastAsia="Garamond" w:hAnsi="Garamond" w:cs="Garamond"/>
                <w:b/>
                <w:sz w:val="24"/>
                <w:szCs w:val="24"/>
              </w:rPr>
            </w:pPr>
          </w:p>
        </w:tc>
      </w:tr>
    </w:tbl>
    <w:p w:rsidR="006C763B" w:rsidRDefault="008D624A">
      <w:pPr>
        <w:rPr>
          <w:rFonts w:ascii="Garamond" w:eastAsia="Garamond" w:hAnsi="Garamond" w:cs="Garamond"/>
          <w:b/>
          <w:color w:val="000000"/>
          <w:sz w:val="24"/>
          <w:szCs w:val="24"/>
        </w:rPr>
      </w:pPr>
      <w:r>
        <w:br w:type="page"/>
      </w:r>
    </w:p>
    <w:p w:rsidR="006C763B" w:rsidRDefault="008D624A">
      <w:pPr>
        <w:pBdr>
          <w:top w:val="nil"/>
          <w:left w:val="nil"/>
          <w:bottom w:val="nil"/>
          <w:right w:val="nil"/>
          <w:between w:val="nil"/>
        </w:pBdr>
        <w:spacing w:after="12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3. Soggetti del trattamento</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Giunta Regionale del Veneto, con sede in: Venezia, Palazzo Balbi - </w:t>
      </w:r>
      <w:proofErr w:type="spellStart"/>
      <w:r>
        <w:rPr>
          <w:rFonts w:ascii="Garamond" w:eastAsia="Garamond" w:hAnsi="Garamond" w:cs="Garamond"/>
          <w:color w:val="000000"/>
          <w:sz w:val="24"/>
          <w:szCs w:val="24"/>
        </w:rPr>
        <w:t>Dorsoduro</w:t>
      </w:r>
      <w:proofErr w:type="spellEnd"/>
      <w:r>
        <w:rPr>
          <w:rFonts w:ascii="Garamond" w:eastAsia="Garamond" w:hAnsi="Garamond" w:cs="Garamond"/>
          <w:color w:val="000000"/>
          <w:sz w:val="24"/>
          <w:szCs w:val="24"/>
        </w:rPr>
        <w:t xml:space="preserve"> 3901 è il </w:t>
      </w:r>
      <w:r>
        <w:rPr>
          <w:rFonts w:ascii="Garamond" w:eastAsia="Garamond" w:hAnsi="Garamond" w:cs="Garamond"/>
          <w:b/>
          <w:color w:val="000000"/>
          <w:sz w:val="24"/>
          <w:szCs w:val="24"/>
        </w:rPr>
        <w:t>Titolare del trattamento</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xml:space="preserve"> dei dati personali forniti dai soggetti coinvolti e/o interessati a vario titolo alle iniziative finanziate nell’ambito del Piano Nazionale di Ripresa e Resilienza. </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sidRPr="002C53FB">
        <w:rPr>
          <w:rFonts w:ascii="Garamond" w:eastAsia="Garamond" w:hAnsi="Garamond" w:cs="Garamond"/>
          <w:color w:val="000000"/>
          <w:sz w:val="24"/>
          <w:szCs w:val="24"/>
        </w:rPr>
        <w:t xml:space="preserve">Ai sensi della DGR n. 596 del 8 maggio 2021, Delegato al trattamento è il Dirigente </w:t>
      </w:r>
      <w:r w:rsidRPr="002C53FB">
        <w:rPr>
          <w:rFonts w:ascii="Garamond" w:eastAsia="Garamond" w:hAnsi="Garamond" w:cs="Garamond"/>
          <w:i/>
          <w:color w:val="000000"/>
          <w:sz w:val="24"/>
          <w:szCs w:val="24"/>
        </w:rPr>
        <w:t>pro tempore</w:t>
      </w:r>
      <w:r w:rsidRPr="002C53FB">
        <w:rPr>
          <w:rFonts w:ascii="Garamond" w:eastAsia="Garamond" w:hAnsi="Garamond" w:cs="Garamond"/>
          <w:color w:val="000000"/>
          <w:sz w:val="24"/>
          <w:szCs w:val="24"/>
        </w:rPr>
        <w:t xml:space="preserve"> della Direzione </w:t>
      </w:r>
      <w:r w:rsidR="00E80C74" w:rsidRPr="002C53FB">
        <w:rPr>
          <w:rFonts w:ascii="Garamond" w:eastAsia="Garamond" w:hAnsi="Garamond" w:cs="Garamond"/>
          <w:color w:val="000000"/>
          <w:sz w:val="24"/>
          <w:szCs w:val="24"/>
        </w:rPr>
        <w:t>Formazione e Istruzione</w:t>
      </w:r>
      <w:r w:rsidRPr="002C53FB">
        <w:rPr>
          <w:rFonts w:ascii="Garamond" w:eastAsia="Garamond" w:hAnsi="Garamond" w:cs="Garamond"/>
          <w:color w:val="000000"/>
          <w:sz w:val="24"/>
          <w:szCs w:val="24"/>
        </w:rPr>
        <w:t xml:space="preserve">, dott. </w:t>
      </w:r>
      <w:r w:rsidR="00E80C74" w:rsidRPr="002C53FB">
        <w:rPr>
          <w:rFonts w:ascii="Garamond" w:eastAsia="Garamond" w:hAnsi="Garamond" w:cs="Garamond"/>
          <w:color w:val="000000"/>
          <w:sz w:val="24"/>
          <w:szCs w:val="24"/>
        </w:rPr>
        <w:t>Massimo Marzano Bernardi</w:t>
      </w:r>
      <w:r w:rsidRPr="002C53FB">
        <w:rPr>
          <w:rFonts w:ascii="Garamond" w:eastAsia="Garamond" w:hAnsi="Garamond" w:cs="Garamond"/>
          <w:color w:val="000000"/>
          <w:sz w:val="24"/>
          <w:szCs w:val="24"/>
        </w:rPr>
        <w:t xml:space="preserve"> (Palazzo Grandi Stazioni - Fondamenta Santa Lucia, </w:t>
      </w:r>
      <w:proofErr w:type="spellStart"/>
      <w:r w:rsidRPr="002C53FB">
        <w:rPr>
          <w:rFonts w:ascii="Garamond" w:eastAsia="Garamond" w:hAnsi="Garamond" w:cs="Garamond"/>
          <w:color w:val="000000"/>
          <w:sz w:val="24"/>
          <w:szCs w:val="24"/>
        </w:rPr>
        <w:t>Cannaregio</w:t>
      </w:r>
      <w:proofErr w:type="spellEnd"/>
      <w:r w:rsidRPr="002C53FB">
        <w:rPr>
          <w:rFonts w:ascii="Garamond" w:eastAsia="Garamond" w:hAnsi="Garamond" w:cs="Garamond"/>
          <w:color w:val="000000"/>
          <w:sz w:val="24"/>
          <w:szCs w:val="24"/>
        </w:rPr>
        <w:t xml:space="preserve">, 23 - 30121 Venezia (VE) - Tel. 041 279 </w:t>
      </w:r>
      <w:r w:rsidR="00E80C74" w:rsidRPr="002C53FB">
        <w:rPr>
          <w:rFonts w:ascii="Garamond" w:eastAsia="Garamond" w:hAnsi="Garamond" w:cs="Garamond"/>
          <w:color w:val="000000"/>
          <w:sz w:val="24"/>
          <w:szCs w:val="24"/>
        </w:rPr>
        <w:t>5013</w:t>
      </w:r>
      <w:r w:rsidRPr="002C53FB">
        <w:rPr>
          <w:rFonts w:ascii="Garamond" w:eastAsia="Garamond" w:hAnsi="Garamond" w:cs="Garamond"/>
          <w:color w:val="000000"/>
          <w:sz w:val="24"/>
          <w:szCs w:val="24"/>
        </w:rPr>
        <w:t xml:space="preserve"> – </w:t>
      </w:r>
      <w:r w:rsidR="00E80C74" w:rsidRPr="002C53FB">
        <w:rPr>
          <w:rFonts w:ascii="Garamond" w:eastAsia="Garamond" w:hAnsi="Garamond" w:cs="Garamond"/>
          <w:color w:val="000000"/>
          <w:sz w:val="24"/>
          <w:szCs w:val="24"/>
        </w:rPr>
        <w:t>5031</w:t>
      </w:r>
      <w:r w:rsidRPr="002C53FB">
        <w:rPr>
          <w:rFonts w:ascii="Garamond" w:eastAsia="Garamond" w:hAnsi="Garamond" w:cs="Garamond"/>
          <w:color w:val="000000"/>
          <w:sz w:val="24"/>
          <w:szCs w:val="24"/>
        </w:rPr>
        <w:t xml:space="preserve"> - e-mail: </w:t>
      </w:r>
      <w:hyperlink r:id="rId12" w:history="1"/>
      <w:r w:rsidRPr="002C53FB">
        <w:rPr>
          <w:rFonts w:ascii="Garamond" w:eastAsia="Garamond" w:hAnsi="Garamond" w:cs="Garamond"/>
          <w:color w:val="000000"/>
          <w:sz w:val="24"/>
          <w:szCs w:val="24"/>
        </w:rPr>
        <w:t xml:space="preserve">- </w:t>
      </w:r>
      <w:hyperlink r:id="rId13" w:history="1">
        <w:r w:rsidR="00E80C74" w:rsidRPr="002C53FB">
          <w:rPr>
            <w:rStyle w:val="Collegamentoipertestuale"/>
            <w:rFonts w:ascii="Garamond" w:eastAsia="Garamond" w:hAnsi="Garamond" w:cs="Garamond"/>
            <w:sz w:val="24"/>
            <w:szCs w:val="24"/>
          </w:rPr>
          <w:t>formazioneistruzione@regione.veneto.it</w:t>
        </w:r>
      </w:hyperlink>
      <w:r w:rsidR="00E80C74" w:rsidRPr="002C53FB">
        <w:rPr>
          <w:rFonts w:ascii="Garamond" w:eastAsia="Garamond" w:hAnsi="Garamond" w:cs="Garamond"/>
          <w:color w:val="000000"/>
          <w:sz w:val="24"/>
          <w:szCs w:val="24"/>
        </w:rPr>
        <w:t xml:space="preserve"> - </w:t>
      </w:r>
      <w:r w:rsidRPr="002C53FB">
        <w:rPr>
          <w:rFonts w:ascii="Garamond" w:eastAsia="Garamond" w:hAnsi="Garamond" w:cs="Garamond"/>
          <w:color w:val="000000"/>
          <w:sz w:val="24"/>
          <w:szCs w:val="24"/>
        </w:rPr>
        <w:t>PEC: </w:t>
      </w:r>
      <w:hyperlink r:id="rId14">
        <w:r w:rsidR="00E80C74" w:rsidRPr="002C53FB">
          <w:rPr>
            <w:rFonts w:ascii="Garamond" w:eastAsia="Garamond" w:hAnsi="Garamond" w:cs="Garamond"/>
            <w:color w:val="0563C1"/>
            <w:sz w:val="24"/>
            <w:szCs w:val="24"/>
            <w:u w:val="single"/>
          </w:rPr>
          <w:t>formazioneistruzione@pec.regione.veneto.it</w:t>
        </w:r>
      </w:hyperlink>
      <w:r w:rsidRPr="002C53FB">
        <w:rPr>
          <w:rFonts w:ascii="Garamond" w:eastAsia="Garamond" w:hAnsi="Garamond" w:cs="Garamond"/>
          <w:color w:val="000000"/>
          <w:sz w:val="24"/>
          <w:szCs w:val="24"/>
        </w:rPr>
        <w:t>).</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Responsabile della Protezione dei dati / Data </w:t>
      </w:r>
      <w:proofErr w:type="spellStart"/>
      <w:r>
        <w:rPr>
          <w:rFonts w:ascii="Garamond" w:eastAsia="Garamond" w:hAnsi="Garamond" w:cs="Garamond"/>
          <w:color w:val="000000"/>
          <w:sz w:val="24"/>
          <w:szCs w:val="24"/>
        </w:rPr>
        <w:t>Protection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Officer</w:t>
      </w:r>
      <w:proofErr w:type="spellEnd"/>
      <w:r>
        <w:rPr>
          <w:rFonts w:ascii="Garamond" w:eastAsia="Garamond" w:hAnsi="Garamond" w:cs="Garamond"/>
          <w:color w:val="000000"/>
          <w:sz w:val="24"/>
          <w:szCs w:val="24"/>
        </w:rPr>
        <w:t xml:space="preserve"> ha sede a Palazzo </w:t>
      </w:r>
      <w:proofErr w:type="spellStart"/>
      <w:r>
        <w:rPr>
          <w:rFonts w:ascii="Garamond" w:eastAsia="Garamond" w:hAnsi="Garamond" w:cs="Garamond"/>
          <w:color w:val="000000"/>
          <w:sz w:val="24"/>
          <w:szCs w:val="24"/>
        </w:rPr>
        <w:t>Sceriman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Cannaregio</w:t>
      </w:r>
      <w:proofErr w:type="spellEnd"/>
      <w:r>
        <w:rPr>
          <w:rFonts w:ascii="Garamond" w:eastAsia="Garamond" w:hAnsi="Garamond" w:cs="Garamond"/>
          <w:color w:val="000000"/>
          <w:sz w:val="24"/>
          <w:szCs w:val="24"/>
        </w:rPr>
        <w:t xml:space="preserve">, 168, 30121 – Venezia. La casella email, a cui potrà rivolgersi per le questioni relative ai trattamenti di dati che La riguardano, è: </w:t>
      </w:r>
      <w:hyperlink r:id="rId15">
        <w:r>
          <w:rPr>
            <w:rFonts w:ascii="Times New Roman" w:eastAsia="Times New Roman" w:hAnsi="Times New Roman" w:cs="Times New Roman"/>
            <w:color w:val="0563C1"/>
            <w:highlight w:val="white"/>
            <w:u w:val="single"/>
          </w:rPr>
          <w:t>dpo@regione.veneto.it</w:t>
        </w:r>
      </w:hyperlink>
      <w:r>
        <w:rPr>
          <w:rFonts w:ascii="Times New Roman" w:eastAsia="Times New Roman" w:hAnsi="Times New Roman" w:cs="Times New Roman"/>
          <w:color w:val="0563C1"/>
          <w:highlight w:val="white"/>
          <w:u w:val="single"/>
        </w:rPr>
        <w:t xml:space="preserve"> </w:t>
      </w:r>
      <w:r>
        <w:rPr>
          <w:rFonts w:ascii="Times New Roman" w:eastAsia="Times New Roman" w:hAnsi="Times New Roman" w:cs="Times New Roman"/>
          <w:color w:val="0B5394"/>
          <w:highlight w:val="white"/>
        </w:rPr>
        <w:t xml:space="preserve">- </w:t>
      </w:r>
      <w:proofErr w:type="spellStart"/>
      <w:r>
        <w:rPr>
          <w:rFonts w:ascii="Times New Roman" w:eastAsia="Times New Roman" w:hAnsi="Times New Roman" w:cs="Times New Roman"/>
          <w:color w:val="0B5394"/>
          <w:highlight w:val="white"/>
        </w:rPr>
        <w:t>pec</w:t>
      </w:r>
      <w:proofErr w:type="spellEnd"/>
      <w:r>
        <w:rPr>
          <w:rFonts w:ascii="Times New Roman" w:eastAsia="Times New Roman" w:hAnsi="Times New Roman" w:cs="Times New Roman"/>
          <w:color w:val="0B5394"/>
          <w:highlight w:val="white"/>
        </w:rPr>
        <w:t xml:space="preserve">: </w:t>
      </w:r>
      <w:hyperlink r:id="rId16">
        <w:r>
          <w:rPr>
            <w:rFonts w:ascii="Times New Roman" w:eastAsia="Times New Roman" w:hAnsi="Times New Roman" w:cs="Times New Roman"/>
            <w:color w:val="0563C1"/>
            <w:highlight w:val="white"/>
            <w:u w:val="single"/>
          </w:rPr>
          <w:t>dpo@pec.regione.veneto.it</w:t>
        </w:r>
      </w:hyperlink>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maggiori informazioni in merito si rimanda alla pagina istituzionale: https://</w:t>
      </w:r>
      <w:hyperlink r:id="rId17">
        <w:r>
          <w:rPr>
            <w:rFonts w:ascii="Garamond" w:eastAsia="Garamond" w:hAnsi="Garamond" w:cs="Garamond"/>
            <w:color w:val="0563C1"/>
            <w:sz w:val="24"/>
            <w:szCs w:val="24"/>
            <w:u w:val="single"/>
          </w:rPr>
          <w:t>www.regione.veneto.it/privacy</w:t>
        </w:r>
      </w:hyperlink>
      <w:r>
        <w:rPr>
          <w:rFonts w:ascii="Garamond" w:eastAsia="Garamond" w:hAnsi="Garamond" w:cs="Garamond"/>
          <w:color w:val="000000"/>
          <w:sz w:val="24"/>
          <w:szCs w:val="24"/>
        </w:rPr>
        <w:t xml:space="preserve"> </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6C763B" w:rsidRDefault="008D624A">
      <w:pPr>
        <w:rPr>
          <w:rFonts w:ascii="Garamond" w:eastAsia="Garamond" w:hAnsi="Garamond" w:cs="Garamond"/>
          <w:b/>
          <w:color w:val="000000"/>
          <w:sz w:val="24"/>
          <w:szCs w:val="24"/>
        </w:rPr>
      </w:pPr>
      <w:r>
        <w:br w:type="page"/>
      </w:r>
    </w:p>
    <w:p w:rsidR="006C763B" w:rsidRDefault="008D624A">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4. Modalità del trattamento ed ambito di diffusione dei dati trasmessi</w:t>
      </w:r>
    </w:p>
    <w:p w:rsidR="006C763B" w:rsidRDefault="008D624A">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6C763B" w:rsidRDefault="008D624A">
      <w:pPr>
        <w:pBdr>
          <w:top w:val="nil"/>
          <w:left w:val="nil"/>
          <w:bottom w:val="nil"/>
          <w:right w:val="nil"/>
          <w:between w:val="nil"/>
        </w:pBdr>
        <w:spacing w:before="280" w:after="28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w:t>
      </w:r>
      <w:proofErr w:type="spellStart"/>
      <w:r>
        <w:rPr>
          <w:rFonts w:ascii="Garamond" w:eastAsia="Garamond" w:hAnsi="Garamond" w:cs="Garamond"/>
          <w:color w:val="000000"/>
          <w:sz w:val="24"/>
          <w:szCs w:val="24"/>
        </w:rPr>
        <w:t>GdF</w:t>
      </w:r>
      <w:proofErr w:type="spellEnd"/>
      <w:r>
        <w:rPr>
          <w:rFonts w:ascii="Garamond" w:eastAsia="Garamond" w:hAnsi="Garamond" w:cs="Garamond"/>
          <w:color w:val="000000"/>
          <w:sz w:val="24"/>
          <w:szCs w:val="24"/>
        </w:rPr>
        <w:t>, OLAF, Corte dei Conti europea-ECA, Procura europea-EPPO ecc.).</w:t>
      </w:r>
    </w:p>
    <w:tbl>
      <w:tblPr>
        <w:tblStyle w:val="af1"/>
        <w:tblW w:w="9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6C763B">
        <w:tc>
          <w:tcPr>
            <w:tcW w:w="851" w:type="dxa"/>
            <w:shd w:val="clear" w:color="auto" w:fill="4F81BD"/>
          </w:tcPr>
          <w:p w:rsidR="006C763B" w:rsidRDefault="008D624A">
            <w:pPr>
              <w:rPr>
                <w:rFonts w:ascii="Garamond" w:eastAsia="Garamond" w:hAnsi="Garamond" w:cs="Garamond"/>
                <w:b/>
                <w:color w:val="FF0000"/>
                <w:sz w:val="26"/>
                <w:szCs w:val="26"/>
              </w:rPr>
            </w:pPr>
            <w:r>
              <w:rPr>
                <w:noProof/>
              </w:rPr>
              <w:drawing>
                <wp:anchor distT="0" distB="0" distL="114300" distR="114300" simplePos="0" relativeHeight="251658240" behindDoc="0" locked="0" layoutInCell="1" hidden="0" allowOverlap="1">
                  <wp:simplePos x="0" y="0"/>
                  <wp:positionH relativeFrom="column">
                    <wp:posOffset>41460</wp:posOffset>
                  </wp:positionH>
                  <wp:positionV relativeFrom="paragraph">
                    <wp:posOffset>111810</wp:posOffset>
                  </wp:positionV>
                  <wp:extent cx="367200" cy="367200"/>
                  <wp:effectExtent l="0" t="0" r="0" b="0"/>
                  <wp:wrapNone/>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C763B" w:rsidRDefault="008D624A">
            <w:pPr>
              <w:tabs>
                <w:tab w:val="left" w:pos="8428"/>
              </w:tabs>
              <w:ind w:left="210" w:right="318"/>
              <w:jc w:val="center"/>
              <w:rPr>
                <w:rFonts w:ascii="Garamond" w:eastAsia="Garamond" w:hAnsi="Garamond" w:cs="Garamond"/>
                <w:b/>
                <w:color w:val="FFFFFF"/>
              </w:rPr>
            </w:pPr>
            <w:r>
              <w:rPr>
                <w:rFonts w:ascii="Garamond" w:eastAsia="Garamond" w:hAnsi="Garamond" w:cs="Garamond"/>
                <w:b/>
                <w:color w:val="FFFFFF"/>
              </w:rPr>
              <w:t>Regolamento (UE) 2021/241</w:t>
            </w:r>
          </w:p>
          <w:p w:rsidR="006C763B" w:rsidRDefault="008D624A">
            <w:pPr>
              <w:tabs>
                <w:tab w:val="left" w:pos="8428"/>
              </w:tabs>
              <w:ind w:right="318"/>
              <w:jc w:val="center"/>
              <w:rPr>
                <w:rFonts w:ascii="Garamond" w:eastAsia="Garamond" w:hAnsi="Garamond" w:cs="Garamond"/>
                <w:b/>
                <w:color w:val="FFFFFF"/>
              </w:rPr>
            </w:pPr>
            <w:r>
              <w:rPr>
                <w:rFonts w:ascii="Garamond" w:eastAsia="Garamond" w:hAnsi="Garamond" w:cs="Garamond"/>
                <w:b/>
                <w:color w:val="FFFFFF"/>
              </w:rPr>
              <w:t>Art. 22 “</w:t>
            </w:r>
            <w:r>
              <w:rPr>
                <w:rFonts w:ascii="Garamond" w:eastAsia="Garamond" w:hAnsi="Garamond" w:cs="Garamond"/>
                <w:b/>
                <w:i/>
                <w:color w:val="FFFFFF"/>
              </w:rPr>
              <w:t>Tutela degli interessi finanziari dell'Unione</w:t>
            </w:r>
            <w:r>
              <w:rPr>
                <w:rFonts w:ascii="Garamond" w:eastAsia="Garamond" w:hAnsi="Garamond" w:cs="Garamond"/>
                <w:b/>
                <w:color w:val="FFFFFF"/>
              </w:rPr>
              <w:t>”</w:t>
            </w:r>
          </w:p>
          <w:p w:rsidR="006C763B" w:rsidRDefault="008D624A">
            <w:pPr>
              <w:tabs>
                <w:tab w:val="left" w:pos="8428"/>
              </w:tabs>
              <w:spacing w:before="120" w:after="120"/>
              <w:ind w:right="318"/>
              <w:jc w:val="both"/>
              <w:rPr>
                <w:rFonts w:ascii="Garamond" w:eastAsia="Garamond" w:hAnsi="Garamond" w:cs="Garamond"/>
                <w:b/>
                <w:color w:val="FFFFFF"/>
              </w:rPr>
            </w:pPr>
            <w:r>
              <w:rPr>
                <w:rFonts w:ascii="Garamond" w:eastAsia="Garamond" w:hAnsi="Garamond" w:cs="Garamond"/>
                <w:b/>
                <w:color w:val="FFFFFF"/>
              </w:rPr>
              <w:t xml:space="preserve">Paragrafo 2) </w:t>
            </w:r>
            <w:proofErr w:type="spellStart"/>
            <w:r>
              <w:rPr>
                <w:rFonts w:ascii="Garamond" w:eastAsia="Garamond" w:hAnsi="Garamond" w:cs="Garamond"/>
                <w:b/>
                <w:color w:val="FFFFFF"/>
              </w:rPr>
              <w:t>lett</w:t>
            </w:r>
            <w:proofErr w:type="spellEnd"/>
            <w:r>
              <w:rPr>
                <w:rFonts w:ascii="Garamond" w:eastAsia="Garamond" w:hAnsi="Garamond" w:cs="Garamond"/>
                <w:b/>
                <w:color w:val="FFFFFF"/>
              </w:rPr>
              <w:t xml:space="preserve"> d)</w:t>
            </w:r>
          </w:p>
          <w:p w:rsidR="006C763B" w:rsidRDefault="008D624A">
            <w:pPr>
              <w:tabs>
                <w:tab w:val="left" w:pos="8428"/>
              </w:tabs>
              <w:spacing w:before="120" w:after="120"/>
              <w:ind w:left="210" w:right="318"/>
              <w:jc w:val="both"/>
              <w:rPr>
                <w:rFonts w:ascii="Garamond" w:eastAsia="Garamond" w:hAnsi="Garamond" w:cs="Garamond"/>
                <w:b/>
                <w:i/>
                <w:color w:val="FFFFFF"/>
                <w:sz w:val="21"/>
                <w:szCs w:val="21"/>
              </w:rPr>
            </w:pPr>
            <w:r>
              <w:rPr>
                <w:rFonts w:ascii="Garamond" w:eastAsia="Garamond" w:hAnsi="Garamond" w:cs="Garamond"/>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6C763B" w:rsidRDefault="008D624A">
            <w:pPr>
              <w:numPr>
                <w:ilvl w:val="2"/>
                <w:numId w:val="1"/>
              </w:numPr>
              <w:pBdr>
                <w:top w:val="nil"/>
                <w:left w:val="nil"/>
                <w:bottom w:val="nil"/>
                <w:right w:val="nil"/>
                <w:between w:val="nil"/>
              </w:pBdr>
              <w:tabs>
                <w:tab w:val="left" w:pos="8428"/>
              </w:tabs>
              <w:spacing w:before="120" w:after="0" w:line="240" w:lineRule="auto"/>
              <w:ind w:right="318"/>
              <w:jc w:val="both"/>
              <w:rPr>
                <w:rFonts w:ascii="Garamond" w:eastAsia="Garamond" w:hAnsi="Garamond" w:cs="Garamond"/>
                <w:b/>
                <w:i/>
                <w:color w:val="FFFFFF"/>
              </w:rPr>
            </w:pPr>
            <w:r>
              <w:rPr>
                <w:rFonts w:ascii="Garamond" w:eastAsia="Garamond" w:hAnsi="Garamond" w:cs="Garamond"/>
                <w:b/>
                <w:i/>
                <w:color w:val="FFFFFF"/>
              </w:rPr>
              <w:t>il nome del destinatario finale dei fondi;</w:t>
            </w:r>
          </w:p>
          <w:p w:rsidR="006C763B" w:rsidRDefault="008D624A">
            <w:pPr>
              <w:numPr>
                <w:ilvl w:val="2"/>
                <w:numId w:val="1"/>
              </w:numPr>
              <w:pBdr>
                <w:top w:val="nil"/>
                <w:left w:val="nil"/>
                <w:bottom w:val="nil"/>
                <w:right w:val="nil"/>
                <w:between w:val="nil"/>
              </w:pBdr>
              <w:tabs>
                <w:tab w:val="left" w:pos="8428"/>
              </w:tabs>
              <w:spacing w:after="0" w:line="240" w:lineRule="auto"/>
              <w:ind w:right="318"/>
              <w:jc w:val="both"/>
              <w:rPr>
                <w:rFonts w:ascii="Garamond" w:eastAsia="Garamond" w:hAnsi="Garamond" w:cs="Garamond"/>
                <w:b/>
                <w:i/>
                <w:color w:val="FFFFFF"/>
              </w:rPr>
            </w:pPr>
            <w:r>
              <w:rPr>
                <w:rFonts w:ascii="Garamond" w:eastAsia="Garamond" w:hAnsi="Garamond" w:cs="Garamond"/>
                <w:b/>
                <w:i/>
                <w:color w:val="FFFFFF"/>
              </w:rPr>
              <w:t>il nome dell'appaltatore e del subappaltatore, ove il destinatario finale dei fondi sia un'amministrazione aggiudicatrice ai sensi delle disposizioni nazionali o dell'Unione in materia di appalti pubblici;</w:t>
            </w:r>
          </w:p>
          <w:p w:rsidR="006C763B" w:rsidRDefault="008D624A">
            <w:pPr>
              <w:numPr>
                <w:ilvl w:val="2"/>
                <w:numId w:val="1"/>
              </w:numPr>
              <w:pBdr>
                <w:top w:val="nil"/>
                <w:left w:val="nil"/>
                <w:bottom w:val="nil"/>
                <w:right w:val="nil"/>
                <w:between w:val="nil"/>
              </w:pBdr>
              <w:tabs>
                <w:tab w:val="left" w:pos="8428"/>
              </w:tabs>
              <w:spacing w:after="0" w:line="240" w:lineRule="auto"/>
              <w:ind w:right="318"/>
              <w:jc w:val="both"/>
              <w:rPr>
                <w:rFonts w:ascii="Garamond" w:eastAsia="Garamond" w:hAnsi="Garamond" w:cs="Garamond"/>
                <w:b/>
                <w:i/>
                <w:color w:val="FFFFFF"/>
              </w:rPr>
            </w:pPr>
            <w:r>
              <w:rPr>
                <w:rFonts w:ascii="Garamond" w:eastAsia="Garamond" w:hAnsi="Garamond" w:cs="Garamond"/>
                <w:b/>
                <w:i/>
                <w:color w:val="FFFFFF"/>
              </w:rPr>
              <w:t>il/i nome/i, il/i cognome/i e la data di nascita del/dei titolare/i effettivo/i del destinatario dei fondi o appaltatore, ai sensi dell'articolo 3, punto 6, della direttiva (UE) 2015/849 del Parlamento europeo e del Consiglio;</w:t>
            </w:r>
          </w:p>
          <w:p w:rsidR="006C763B" w:rsidRDefault="008D624A">
            <w:pPr>
              <w:numPr>
                <w:ilvl w:val="2"/>
                <w:numId w:val="1"/>
              </w:numPr>
              <w:pBdr>
                <w:top w:val="nil"/>
                <w:left w:val="nil"/>
                <w:bottom w:val="nil"/>
                <w:right w:val="nil"/>
                <w:between w:val="nil"/>
              </w:pBdr>
              <w:tabs>
                <w:tab w:val="left" w:pos="8428"/>
              </w:tabs>
              <w:spacing w:after="120" w:line="240" w:lineRule="auto"/>
              <w:ind w:right="318"/>
              <w:jc w:val="both"/>
              <w:rPr>
                <w:rFonts w:ascii="Garamond" w:eastAsia="Garamond" w:hAnsi="Garamond" w:cs="Garamond"/>
                <w:b/>
                <w:i/>
                <w:color w:val="FFFFFF"/>
              </w:rPr>
            </w:pPr>
            <w:r>
              <w:rPr>
                <w:rFonts w:ascii="Garamond" w:eastAsia="Garamond" w:hAnsi="Garamond" w:cs="Garamond"/>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6C763B" w:rsidRDefault="008D624A">
            <w:pPr>
              <w:tabs>
                <w:tab w:val="left" w:pos="8428"/>
              </w:tabs>
              <w:spacing w:before="120" w:after="120"/>
              <w:ind w:right="318"/>
              <w:jc w:val="both"/>
              <w:rPr>
                <w:rFonts w:ascii="Garamond" w:eastAsia="Garamond" w:hAnsi="Garamond" w:cs="Garamond"/>
                <w:b/>
                <w:color w:val="FFFFFF"/>
              </w:rPr>
            </w:pPr>
            <w:r>
              <w:rPr>
                <w:rFonts w:ascii="Garamond" w:eastAsia="Garamond" w:hAnsi="Garamond" w:cs="Garamond"/>
                <w:b/>
                <w:color w:val="FFFFFF"/>
              </w:rPr>
              <w:t xml:space="preserve">Paragrafo 3) </w:t>
            </w:r>
          </w:p>
          <w:p w:rsidR="006C763B" w:rsidRDefault="008D624A">
            <w:pPr>
              <w:tabs>
                <w:tab w:val="left" w:pos="8428"/>
              </w:tabs>
              <w:spacing w:before="120" w:after="120"/>
              <w:ind w:left="210" w:right="318"/>
              <w:jc w:val="both"/>
              <w:rPr>
                <w:rFonts w:ascii="Garamond" w:eastAsia="Garamond" w:hAnsi="Garamond" w:cs="Garamond"/>
                <w:color w:val="FFFFFF"/>
              </w:rPr>
            </w:pPr>
            <w:r>
              <w:rPr>
                <w:rFonts w:ascii="Garamond" w:eastAsia="Garamond" w:hAnsi="Garamond" w:cs="Garamond"/>
                <w:b/>
                <w:color w:val="FFFFFF"/>
              </w:rPr>
              <w:t>“</w:t>
            </w:r>
            <w:r>
              <w:rPr>
                <w:rFonts w:ascii="Garamond" w:eastAsia="Garamond" w:hAnsi="Garamond" w:cs="Garamond"/>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rFonts w:ascii="Garamond" w:eastAsia="Garamond" w:hAnsi="Garamond" w:cs="Garamond"/>
                <w:color w:val="FFFFFF"/>
              </w:rPr>
              <w:t>.”</w:t>
            </w:r>
          </w:p>
        </w:tc>
      </w:tr>
    </w:tbl>
    <w:p w:rsidR="006C763B" w:rsidRDefault="006C763B">
      <w:pPr>
        <w:rPr>
          <w:rFonts w:ascii="Garamond" w:eastAsia="Garamond" w:hAnsi="Garamond" w:cs="Garamond"/>
          <w:b/>
        </w:rPr>
      </w:pPr>
    </w:p>
    <w:p w:rsidR="006C763B" w:rsidRDefault="008D624A">
      <w:pPr>
        <w:rPr>
          <w:rFonts w:ascii="Garamond" w:eastAsia="Garamond" w:hAnsi="Garamond" w:cs="Garamond"/>
          <w:b/>
        </w:rPr>
      </w:pPr>
      <w:r>
        <w:br w:type="page"/>
      </w:r>
    </w:p>
    <w:p w:rsidR="006C763B" w:rsidRDefault="008D624A">
      <w:pPr>
        <w:rPr>
          <w:rFonts w:ascii="Garamond" w:eastAsia="Garamond" w:hAnsi="Garamond" w:cs="Garamond"/>
          <w:b/>
        </w:rPr>
      </w:pPr>
      <w:r>
        <w:rPr>
          <w:rFonts w:ascii="Garamond" w:eastAsia="Garamond" w:hAnsi="Garamond" w:cs="Garamond"/>
          <w:b/>
        </w:rPr>
        <w:lastRenderedPageBreak/>
        <w:t xml:space="preserve">5. </w:t>
      </w:r>
      <w:r>
        <w:rPr>
          <w:rFonts w:ascii="Garamond" w:eastAsia="Garamond" w:hAnsi="Garamond" w:cs="Garamond"/>
          <w:b/>
          <w:sz w:val="24"/>
          <w:szCs w:val="24"/>
        </w:rPr>
        <w:t>Base giuridica del trattamento</w:t>
      </w:r>
    </w:p>
    <w:p w:rsidR="006C763B" w:rsidRDefault="008D624A">
      <w:pPr>
        <w:jc w:val="both"/>
        <w:rPr>
          <w:rFonts w:ascii="Garamond" w:eastAsia="Garamond" w:hAnsi="Garamond" w:cs="Garamond"/>
          <w:sz w:val="24"/>
          <w:szCs w:val="24"/>
        </w:rPr>
      </w:pPr>
      <w:r>
        <w:rPr>
          <w:rFonts w:ascii="Garamond" w:eastAsia="Garamond" w:hAnsi="Garamond" w:cs="Garamond"/>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af2"/>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6C763B">
        <w:tc>
          <w:tcPr>
            <w:tcW w:w="678" w:type="dxa"/>
            <w:shd w:val="clear" w:color="auto" w:fill="4F81BD"/>
          </w:tcPr>
          <w:p w:rsidR="006C763B" w:rsidRDefault="008D624A">
            <w:pPr>
              <w:rPr>
                <w:rFonts w:ascii="Garamond" w:eastAsia="Garamond" w:hAnsi="Garamond" w:cs="Garamond"/>
                <w:b/>
                <w:color w:val="FFFFFF"/>
                <w:sz w:val="26"/>
                <w:szCs w:val="26"/>
              </w:rPr>
            </w:pPr>
            <w:r>
              <w:rPr>
                <w:noProof/>
              </w:rPr>
              <w:drawing>
                <wp:anchor distT="0" distB="0" distL="114300" distR="114300" simplePos="0" relativeHeight="251659264" behindDoc="0" locked="0" layoutInCell="1" hidden="0" allowOverlap="1">
                  <wp:simplePos x="0" y="0"/>
                  <wp:positionH relativeFrom="column">
                    <wp:posOffset>-4230</wp:posOffset>
                  </wp:positionH>
                  <wp:positionV relativeFrom="paragraph">
                    <wp:posOffset>320463</wp:posOffset>
                  </wp:positionV>
                  <wp:extent cx="367200" cy="367200"/>
                  <wp:effectExtent l="0" t="0" r="0" b="0"/>
                  <wp:wrapNone/>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C763B" w:rsidRDefault="008D624A">
            <w:pPr>
              <w:tabs>
                <w:tab w:val="left" w:pos="8428"/>
              </w:tabs>
              <w:spacing w:before="120" w:after="120"/>
              <w:ind w:left="210" w:right="318"/>
              <w:jc w:val="both"/>
              <w:rPr>
                <w:rFonts w:ascii="Garamond" w:eastAsia="Garamond" w:hAnsi="Garamond" w:cs="Garamond"/>
                <w:b/>
                <w:color w:val="FFFFFF"/>
              </w:rPr>
            </w:pPr>
            <w:r>
              <w:rPr>
                <w:rFonts w:ascii="Garamond" w:eastAsia="Garamond" w:hAnsi="Garamond" w:cs="Garamond"/>
                <w:b/>
                <w:color w:val="FFFFFF"/>
              </w:rPr>
              <w:t xml:space="preserve">D. </w:t>
            </w:r>
            <w:proofErr w:type="spellStart"/>
            <w:r>
              <w:rPr>
                <w:rFonts w:ascii="Garamond" w:eastAsia="Garamond" w:hAnsi="Garamond" w:cs="Garamond"/>
                <w:b/>
                <w:color w:val="FFFFFF"/>
              </w:rPr>
              <w:t>Lgs</w:t>
            </w:r>
            <w:proofErr w:type="spellEnd"/>
            <w:r>
              <w:rPr>
                <w:rFonts w:ascii="Garamond" w:eastAsia="Garamond" w:hAnsi="Garamond" w:cs="Garamond"/>
                <w:b/>
                <w:color w:val="FFFFFF"/>
              </w:rPr>
              <w:t xml:space="preserve"> 196/2003 e </w:t>
            </w:r>
            <w:proofErr w:type="spellStart"/>
            <w:r>
              <w:rPr>
                <w:rFonts w:ascii="Garamond" w:eastAsia="Garamond" w:hAnsi="Garamond" w:cs="Garamond"/>
                <w:b/>
                <w:color w:val="FFFFFF"/>
              </w:rPr>
              <w:t>s.m.i.</w:t>
            </w:r>
            <w:proofErr w:type="spellEnd"/>
            <w:r>
              <w:rPr>
                <w:rFonts w:ascii="Garamond" w:eastAsia="Garamond" w:hAnsi="Garamond" w:cs="Garamond"/>
                <w:b/>
                <w:color w:val="FFFFFF"/>
              </w:rPr>
              <w:t>, art. 2-sexies - Trattamento di categorie particolari di dati personali necessario per motivi di interesse pubblico rilevante:</w:t>
            </w:r>
          </w:p>
          <w:p w:rsidR="006C763B" w:rsidRDefault="008D624A">
            <w:pPr>
              <w:tabs>
                <w:tab w:val="left" w:pos="8428"/>
              </w:tabs>
              <w:spacing w:before="120"/>
              <w:ind w:left="210" w:right="318"/>
              <w:jc w:val="both"/>
              <w:rPr>
                <w:rFonts w:ascii="Garamond" w:eastAsia="Garamond" w:hAnsi="Garamond" w:cs="Garamond"/>
                <w:color w:val="FFFFFF"/>
              </w:rPr>
            </w:pPr>
            <w:r>
              <w:rPr>
                <w:rFonts w:ascii="Garamond" w:eastAsia="Garamond" w:hAnsi="Garamond" w:cs="Garamond"/>
                <w:color w:val="FFFFFF"/>
              </w:rPr>
              <w:t>si considera rilevante l’interesse pubblico relativo a trattamenti effettuati da soggetti che svolgono compiti di interesse pubblico o connessi all’esercizio di pubblici poteri nelle seguenti materie:</w:t>
            </w:r>
          </w:p>
          <w:p w:rsidR="006C763B" w:rsidRDefault="008D624A">
            <w:pPr>
              <w:tabs>
                <w:tab w:val="left" w:pos="8428"/>
              </w:tabs>
              <w:spacing w:after="120"/>
              <w:ind w:left="210" w:right="318"/>
              <w:jc w:val="both"/>
              <w:rPr>
                <w:rFonts w:ascii="Garamond" w:eastAsia="Garamond" w:hAnsi="Garamond" w:cs="Garamond"/>
                <w:color w:val="FFFFFF"/>
              </w:rPr>
            </w:pPr>
            <w:r>
              <w:rPr>
                <w:rFonts w:ascii="Garamond" w:eastAsia="Garamond" w:hAnsi="Garamond" w:cs="Garamond"/>
                <w:color w:val="FFFFFF"/>
              </w:rPr>
              <w:t>m) concessione, liquidazione, modifica e revoca di benefici economici, agevolazioni, elargizioni, altri emolumenti e abilitazioni.</w:t>
            </w:r>
          </w:p>
        </w:tc>
      </w:tr>
    </w:tbl>
    <w:p w:rsidR="006C763B" w:rsidRDefault="006C763B">
      <w:pPr>
        <w:spacing w:before="120" w:after="120"/>
        <w:jc w:val="both"/>
        <w:rPr>
          <w:rFonts w:ascii="Garamond" w:eastAsia="Garamond" w:hAnsi="Garamond" w:cs="Garamond"/>
        </w:rPr>
      </w:pPr>
    </w:p>
    <w:p w:rsidR="006C763B" w:rsidRDefault="008D624A">
      <w:pPr>
        <w:spacing w:before="120" w:after="120"/>
        <w:jc w:val="both"/>
        <w:rPr>
          <w:rFonts w:ascii="Garamond" w:eastAsia="Garamond" w:hAnsi="Garamond" w:cs="Garamond"/>
          <w:b/>
          <w:sz w:val="24"/>
          <w:szCs w:val="24"/>
        </w:rPr>
      </w:pPr>
      <w:r>
        <w:rPr>
          <w:rFonts w:ascii="Garamond" w:eastAsia="Garamond" w:hAnsi="Garamond" w:cs="Garamond"/>
          <w:b/>
          <w:sz w:val="24"/>
          <w:szCs w:val="24"/>
        </w:rPr>
        <w:t xml:space="preserve">6. Base giuridica per la pubblicazione e diffusione web </w:t>
      </w:r>
    </w:p>
    <w:p w:rsidR="006C763B" w:rsidRDefault="008D624A">
      <w:pPr>
        <w:spacing w:before="120" w:after="120"/>
        <w:jc w:val="both"/>
        <w:rPr>
          <w:rFonts w:ascii="Garamond" w:eastAsia="Garamond" w:hAnsi="Garamond" w:cs="Garamond"/>
          <w:sz w:val="24"/>
          <w:szCs w:val="24"/>
        </w:rPr>
      </w:pPr>
      <w:r>
        <w:rPr>
          <w:rFonts w:ascii="Garamond" w:eastAsia="Garamond" w:hAnsi="Garamond" w:cs="Garamond"/>
          <w:sz w:val="24"/>
          <w:szCs w:val="24"/>
        </w:rPr>
        <w:t>Si illustrano di seguito alcuni obblighi di pubblicazione disciplinati dal d.lgs. 33/2013, tenendo conto delle principali modifiche e integrazioni introdotte dal d.lgs. 97/2016.</w:t>
      </w:r>
    </w:p>
    <w:p w:rsidR="006C763B" w:rsidRDefault="008D624A">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Ai sensi dell’art 26 del D.L. </w:t>
      </w:r>
      <w:hyperlink r:id="rId19">
        <w:r>
          <w:rPr>
            <w:rFonts w:ascii="Garamond" w:eastAsia="Garamond" w:hAnsi="Garamond" w:cs="Garamond"/>
            <w:sz w:val="24"/>
            <w:szCs w:val="24"/>
          </w:rPr>
          <w:t>14 marzo 2013, n. 33</w:t>
        </w:r>
      </w:hyperlink>
      <w:r>
        <w:rPr>
          <w:rFonts w:ascii="Garamond" w:eastAsia="Garamond" w:hAnsi="Garamond" w:cs="Garamond"/>
          <w:sz w:val="24"/>
          <w:szCs w:val="24"/>
        </w:rPr>
        <w:t xml:space="preserve"> (come modificato dall’art. 23 del </w:t>
      </w:r>
      <w:proofErr w:type="spellStart"/>
      <w:r>
        <w:rPr>
          <w:rFonts w:ascii="Garamond" w:eastAsia="Garamond" w:hAnsi="Garamond" w:cs="Garamond"/>
          <w:sz w:val="24"/>
          <w:szCs w:val="24"/>
        </w:rPr>
        <w:t>D.Lgs.</w:t>
      </w:r>
      <w:proofErr w:type="spellEnd"/>
      <w:r>
        <w:rPr>
          <w:rFonts w:ascii="Garamond" w:eastAsia="Garamond" w:hAnsi="Garamond" w:cs="Garamond"/>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6C763B" w:rsidRDefault="008D624A">
      <w:pPr>
        <w:spacing w:before="120" w:after="120"/>
        <w:jc w:val="both"/>
        <w:rPr>
          <w:rFonts w:ascii="Garamond" w:eastAsia="Garamond" w:hAnsi="Garamond" w:cs="Garamond"/>
          <w:sz w:val="24"/>
          <w:szCs w:val="24"/>
        </w:rPr>
      </w:pPr>
      <w:r>
        <w:rPr>
          <w:rFonts w:ascii="Garamond" w:eastAsia="Garamond" w:hAnsi="Garamond" w:cs="Garamond"/>
          <w:sz w:val="24"/>
          <w:szCs w:val="24"/>
        </w:rPr>
        <w:t>Ai sensi del comma 3 del medesimo articolo, la pubblicazione costituisce condizione legale di efficacia dei provvedimenti e quindi deve avvenire tempestivamente e, comunque, prima della liquidazione delle somme oggetto del provvedimento.</w:t>
      </w:r>
    </w:p>
    <w:p w:rsidR="006C763B" w:rsidRDefault="006C763B">
      <w:pPr>
        <w:spacing w:before="120" w:after="120"/>
        <w:jc w:val="both"/>
        <w:rPr>
          <w:rFonts w:ascii="Garamond" w:eastAsia="Garamond" w:hAnsi="Garamond" w:cs="Garamond"/>
        </w:rPr>
      </w:pPr>
    </w:p>
    <w:tbl>
      <w:tblPr>
        <w:tblStyle w:val="af3"/>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6C763B">
        <w:tc>
          <w:tcPr>
            <w:tcW w:w="678" w:type="dxa"/>
            <w:shd w:val="clear" w:color="auto" w:fill="4F81BD"/>
          </w:tcPr>
          <w:p w:rsidR="006C763B" w:rsidRDefault="008D624A">
            <w:pPr>
              <w:rPr>
                <w:rFonts w:ascii="Garamond" w:eastAsia="Garamond" w:hAnsi="Garamond" w:cs="Garamond"/>
                <w:b/>
                <w:color w:val="FFFFFF"/>
                <w:sz w:val="26"/>
                <w:szCs w:val="26"/>
              </w:rPr>
            </w:pPr>
            <w:r>
              <w:rPr>
                <w:noProof/>
              </w:rPr>
              <w:drawing>
                <wp:anchor distT="0" distB="0" distL="114300" distR="114300" simplePos="0" relativeHeight="251660288" behindDoc="0" locked="0" layoutInCell="1" hidden="0" allowOverlap="1">
                  <wp:simplePos x="0" y="0"/>
                  <wp:positionH relativeFrom="column">
                    <wp:posOffset>-4230</wp:posOffset>
                  </wp:positionH>
                  <wp:positionV relativeFrom="paragraph">
                    <wp:posOffset>320463</wp:posOffset>
                  </wp:positionV>
                  <wp:extent cx="367200" cy="367200"/>
                  <wp:effectExtent l="0" t="0" r="0" b="0"/>
                  <wp:wrapNone/>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C763B" w:rsidRDefault="008D624A">
            <w:pPr>
              <w:spacing w:before="120" w:after="120"/>
              <w:jc w:val="both"/>
              <w:rPr>
                <w:rFonts w:ascii="Garamond" w:eastAsia="Garamond" w:hAnsi="Garamond" w:cs="Garamond"/>
                <w:color w:val="FFFFFF"/>
              </w:rPr>
            </w:pPr>
            <w:r>
              <w:rPr>
                <w:rFonts w:ascii="Garamond" w:eastAsia="Garamond" w:hAnsi="Garamond" w:cs="Garamond"/>
                <w:b/>
                <w:color w:val="FFFFFF"/>
              </w:rPr>
              <w:t xml:space="preserve">D.L. </w:t>
            </w:r>
            <w:hyperlink r:id="rId20">
              <w:r>
                <w:rPr>
                  <w:rFonts w:ascii="Garamond" w:eastAsia="Garamond" w:hAnsi="Garamond" w:cs="Garamond"/>
                  <w:b/>
                  <w:color w:val="FFFFFF"/>
                </w:rPr>
                <w:t>14 marzo 2013, n. 33</w:t>
              </w:r>
            </w:hyperlink>
            <w:r>
              <w:rPr>
                <w:rFonts w:ascii="Garamond" w:eastAsia="Garamond" w:hAnsi="Garamond" w:cs="Garamond"/>
                <w:b/>
                <w:color w:val="FFFFFF"/>
              </w:rPr>
              <w:t xml:space="preserve">, art. 26 Obblighi di pubblicazione degli atti di concessione di sovvenzioni, contributi, sussidi e attribuzione di vantaggi economici a persone fisiche ed enti pubblici e privati </w:t>
            </w:r>
            <w:r>
              <w:rPr>
                <w:rFonts w:ascii="Garamond" w:eastAsia="Garamond" w:hAnsi="Garamond" w:cs="Garamond"/>
                <w:color w:val="FFFFFF"/>
              </w:rPr>
              <w:t>(come modificato dall’art. 23 del D.lgs. n. 97/2016)</w:t>
            </w:r>
          </w:p>
          <w:p w:rsidR="006C763B" w:rsidRDefault="008D624A">
            <w:pPr>
              <w:spacing w:before="120" w:after="120"/>
              <w:jc w:val="both"/>
              <w:rPr>
                <w:rFonts w:ascii="Garamond" w:eastAsia="Garamond" w:hAnsi="Garamond" w:cs="Garamond"/>
                <w:color w:val="FFFFFF"/>
              </w:rPr>
            </w:pPr>
            <w:r>
              <w:rPr>
                <w:rFonts w:ascii="Garamond" w:eastAsia="Garamond" w:hAnsi="Garamond" w:cs="Garamond"/>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6C763B" w:rsidRDefault="008D624A">
            <w:pPr>
              <w:spacing w:before="120" w:after="120"/>
              <w:jc w:val="both"/>
              <w:rPr>
                <w:rFonts w:ascii="Garamond" w:eastAsia="Garamond" w:hAnsi="Garamond" w:cs="Garamond"/>
                <w:color w:val="FFFFFF"/>
              </w:rPr>
            </w:pPr>
            <w:r>
              <w:rPr>
                <w:rFonts w:ascii="Garamond" w:eastAsia="Garamond" w:hAnsi="Garamond" w:cs="Garamond"/>
                <w:color w:val="FFFFFF"/>
              </w:rPr>
              <w:t xml:space="preserve">2. Le pubbliche amministrazioni pubblicano gli atti di concessione delle sovvenzioni, contributi, sussidi ed ausili finanziari alle imprese, e comunque di vantaggi economici di qualunque genere a persone ed </w:t>
            </w:r>
            <w:r>
              <w:rPr>
                <w:rFonts w:ascii="Garamond" w:eastAsia="Garamond" w:hAnsi="Garamond" w:cs="Garamond"/>
                <w:color w:val="FFFFFF"/>
              </w:rPr>
              <w:lastRenderedPageBreak/>
              <w:t>enti pubblici e privati, ai sensi del citato articolo 12 della legge n. 241 del 1990, di importo superiore a mille euro.</w:t>
            </w:r>
          </w:p>
          <w:p w:rsidR="006C763B" w:rsidRDefault="008D624A">
            <w:pPr>
              <w:spacing w:before="120" w:after="120"/>
              <w:jc w:val="both"/>
              <w:rPr>
                <w:rFonts w:ascii="Garamond" w:eastAsia="Garamond" w:hAnsi="Garamond" w:cs="Garamond"/>
                <w:color w:val="FFFFFF"/>
              </w:rPr>
            </w:pPr>
            <w:r>
              <w:rPr>
                <w:rFonts w:ascii="Garamond" w:eastAsia="Garamond" w:hAnsi="Garamond" w:cs="Garamond"/>
                <w:color w:val="FFFFFF"/>
              </w:rPr>
              <w:t xml:space="preserve"> </w:t>
            </w:r>
          </w:p>
          <w:p w:rsidR="006C763B" w:rsidRDefault="008D624A">
            <w:pPr>
              <w:spacing w:before="120" w:after="120"/>
              <w:jc w:val="both"/>
              <w:rPr>
                <w:rFonts w:ascii="Garamond" w:eastAsia="Garamond" w:hAnsi="Garamond" w:cs="Garamond"/>
                <w:color w:val="FFFFFF"/>
              </w:rPr>
            </w:pPr>
            <w:r>
              <w:rPr>
                <w:rFonts w:ascii="Garamond" w:eastAsia="Garamond" w:hAnsi="Garamond" w:cs="Garamond"/>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w:t>
            </w:r>
            <w:proofErr w:type="gramStart"/>
            <w:r>
              <w:rPr>
                <w:rFonts w:ascii="Garamond" w:eastAsia="Garamond" w:hAnsi="Garamond" w:cs="Garamond"/>
                <w:color w:val="FFFFFF"/>
              </w:rPr>
              <w:t>e</w:t>
            </w:r>
            <w:proofErr w:type="gramEnd"/>
            <w:r>
              <w:rPr>
                <w:rFonts w:ascii="Garamond" w:eastAsia="Garamond" w:hAnsi="Garamond" w:cs="Garamond"/>
                <w:color w:val="FFFFFF"/>
              </w:rPr>
              <w:t xml:space="preserve"> da chiunque altro abbia interesse, anche ai fini del risarcimento del danno da ritardo da parte dell'Amministrazione, ai sensi dell'articolo 30 del decreto legislativo 2 luglio 2010, n. 104. </w:t>
            </w:r>
          </w:p>
          <w:p w:rsidR="006C763B" w:rsidRDefault="008D624A">
            <w:pPr>
              <w:spacing w:before="120" w:after="120"/>
              <w:jc w:val="both"/>
              <w:rPr>
                <w:rFonts w:ascii="Garamond" w:eastAsia="Garamond" w:hAnsi="Garamond" w:cs="Garamond"/>
                <w:color w:val="FFFFFF"/>
                <w:sz w:val="20"/>
                <w:szCs w:val="20"/>
              </w:rPr>
            </w:pPr>
            <w:r>
              <w:rPr>
                <w:rFonts w:ascii="Garamond" w:eastAsia="Garamond" w:hAnsi="Garamond" w:cs="Garamond"/>
                <w:color w:val="FFFFFF"/>
              </w:rPr>
              <w:t xml:space="preserve">4. </w:t>
            </w:r>
            <w:proofErr w:type="gramStart"/>
            <w:r>
              <w:rPr>
                <w:rFonts w:ascii="Garamond" w:eastAsia="Garamond" w:hAnsi="Garamond" w:cs="Garamond"/>
                <w:color w:val="FFFFFF"/>
              </w:rPr>
              <w:t>E'</w:t>
            </w:r>
            <w:proofErr w:type="gramEnd"/>
            <w:r>
              <w:rPr>
                <w:rFonts w:ascii="Garamond" w:eastAsia="Garamond" w:hAnsi="Garamond" w:cs="Garamond"/>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rFonts w:ascii="Garamond" w:eastAsia="Garamond" w:hAnsi="Garamond" w:cs="Garamond"/>
                <w:color w:val="FFFFFF"/>
                <w:sz w:val="24"/>
                <w:szCs w:val="24"/>
              </w:rPr>
              <w:t xml:space="preserve"> </w:t>
            </w:r>
          </w:p>
        </w:tc>
      </w:tr>
    </w:tbl>
    <w:p w:rsidR="006C763B" w:rsidRDefault="006C763B">
      <w:pPr>
        <w:spacing w:before="120" w:after="120"/>
        <w:jc w:val="both"/>
        <w:rPr>
          <w:rFonts w:ascii="Garamond" w:eastAsia="Garamond" w:hAnsi="Garamond" w:cs="Garamond"/>
          <w:b/>
        </w:rPr>
      </w:pPr>
    </w:p>
    <w:p w:rsidR="006C763B" w:rsidRDefault="008D624A">
      <w:pPr>
        <w:spacing w:before="120" w:after="0"/>
        <w:ind w:left="142"/>
        <w:jc w:val="both"/>
        <w:rPr>
          <w:rFonts w:ascii="Garamond" w:eastAsia="Garamond" w:hAnsi="Garamond" w:cs="Garamond"/>
          <w:b/>
          <w:sz w:val="24"/>
          <w:szCs w:val="24"/>
        </w:rPr>
      </w:pPr>
      <w:r>
        <w:rPr>
          <w:rFonts w:ascii="Garamond" w:eastAsia="Garamond" w:hAnsi="Garamond" w:cs="Garamond"/>
          <w:b/>
          <w:sz w:val="24"/>
          <w:szCs w:val="24"/>
        </w:rPr>
        <w:t xml:space="preserve">7. Pubblicazione di dati personali ulteriori </w:t>
      </w:r>
    </w:p>
    <w:p w:rsidR="006C763B" w:rsidRDefault="008D624A">
      <w:pPr>
        <w:spacing w:after="120"/>
        <w:ind w:left="142"/>
        <w:jc w:val="both"/>
        <w:rPr>
          <w:rFonts w:ascii="Garamond" w:eastAsia="Garamond" w:hAnsi="Garamond" w:cs="Garamond"/>
          <w:sz w:val="24"/>
          <w:szCs w:val="24"/>
        </w:rPr>
      </w:pPr>
      <w:r>
        <w:rPr>
          <w:rFonts w:ascii="Garamond" w:eastAsia="Garamond" w:hAnsi="Garamond" w:cs="Garamond"/>
          <w:sz w:val="24"/>
          <w:szCs w:val="24"/>
        </w:rPr>
        <w:t xml:space="preserve">Le amministrazioni, in una logica di piena apertura verso l’esterno, possono </w:t>
      </w:r>
      <w:r>
        <w:rPr>
          <w:rFonts w:ascii="Garamond" w:eastAsia="Garamond" w:hAnsi="Garamond" w:cs="Garamond"/>
          <w:sz w:val="24"/>
          <w:szCs w:val="24"/>
        </w:rPr>
        <w:br/>
        <w:t xml:space="preserve">pubblicare “dati ulteriori” oltre a quelli espressamente indicati e richiesti da specifiche norme di legge. La loro pubblicazione è prevista dalla l. 190/2012 (art. 1, c. 9, </w:t>
      </w:r>
      <w:proofErr w:type="spellStart"/>
      <w:r>
        <w:rPr>
          <w:rFonts w:ascii="Garamond" w:eastAsia="Garamond" w:hAnsi="Garamond" w:cs="Garamond"/>
          <w:sz w:val="24"/>
          <w:szCs w:val="24"/>
        </w:rPr>
        <w:t>lett</w:t>
      </w:r>
      <w:proofErr w:type="spellEnd"/>
      <w:r>
        <w:rPr>
          <w:rFonts w:ascii="Garamond" w:eastAsia="Garamond" w:hAnsi="Garamond" w:cs="Garamond"/>
          <w:sz w:val="24"/>
          <w:szCs w:val="24"/>
        </w:rPr>
        <w:t>. f) e dall’art. 7-bis, c. 3 del medesimo d.lgs. 33/2013, laddove stabilisce che le pubbliche amministrazioni possono disporre la pubblicazione nel proprio sito istituzionale di dati, informazioni e documenti, anche in assenza di una specifica previsione di legge o regolamento,</w:t>
      </w:r>
      <w:r>
        <w:rPr>
          <w:rFonts w:ascii="Garamond" w:eastAsia="Garamond" w:hAnsi="Garamond" w:cs="Garamond"/>
          <w:i/>
          <w:sz w:val="21"/>
          <w:szCs w:val="21"/>
        </w:rPr>
        <w:t xml:space="preserve"> </w:t>
      </w:r>
      <w:r>
        <w:rPr>
          <w:rFonts w:ascii="Garamond" w:eastAsia="Garamond" w:hAnsi="Garamond" w:cs="Garamond"/>
          <w:sz w:val="24"/>
          <w:szCs w:val="24"/>
        </w:rPr>
        <w:t>procedendo alla indicazione in forma anonima dei dati personali eventualmente presenti.</w:t>
      </w:r>
    </w:p>
    <w:tbl>
      <w:tblPr>
        <w:tblStyle w:val="af4"/>
        <w:tblW w:w="9530" w:type="dxa"/>
        <w:tblInd w:w="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6C763B">
        <w:tc>
          <w:tcPr>
            <w:tcW w:w="1632" w:type="dxa"/>
            <w:tcBorders>
              <w:top w:val="nil"/>
              <w:bottom w:val="nil"/>
            </w:tcBorders>
            <w:shd w:val="clear" w:color="auto" w:fill="4472C4"/>
          </w:tcPr>
          <w:p w:rsidR="006C763B" w:rsidRDefault="008D624A">
            <w:pPr>
              <w:rPr>
                <w:rFonts w:ascii="Garamond" w:eastAsia="Garamond" w:hAnsi="Garamond" w:cs="Garamond"/>
                <w:b/>
                <w:color w:val="2F5496"/>
                <w:sz w:val="26"/>
                <w:szCs w:val="26"/>
              </w:rPr>
            </w:pPr>
            <w:r>
              <w:rPr>
                <w:noProof/>
              </w:rPr>
              <w:drawing>
                <wp:anchor distT="0" distB="0" distL="114300" distR="114300" simplePos="0" relativeHeight="251661312" behindDoc="0" locked="0" layoutInCell="1" hidden="0" allowOverlap="1">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461010" cy="452120"/>
                          </a:xfrm>
                          <a:prstGeom prst="rect">
                            <a:avLst/>
                          </a:prstGeom>
                          <a:ln/>
                        </pic:spPr>
                      </pic:pic>
                    </a:graphicData>
                  </a:graphic>
                </wp:anchor>
              </w:drawing>
            </w:r>
          </w:p>
          <w:p w:rsidR="006C763B" w:rsidRDefault="006C763B">
            <w:pPr>
              <w:rPr>
                <w:rFonts w:ascii="Garamond" w:eastAsia="Garamond" w:hAnsi="Garamond" w:cs="Garamond"/>
                <w:sz w:val="26"/>
                <w:szCs w:val="26"/>
              </w:rPr>
            </w:pPr>
          </w:p>
        </w:tc>
        <w:tc>
          <w:tcPr>
            <w:tcW w:w="7898" w:type="dxa"/>
            <w:tcBorders>
              <w:top w:val="nil"/>
              <w:bottom w:val="nil"/>
            </w:tcBorders>
            <w:shd w:val="clear" w:color="auto" w:fill="4472C4"/>
            <w:vAlign w:val="center"/>
          </w:tcPr>
          <w:p w:rsidR="006C763B" w:rsidRDefault="008D624A">
            <w:pPr>
              <w:spacing w:before="120" w:after="120" w:line="276" w:lineRule="auto"/>
              <w:ind w:left="-620"/>
              <w:jc w:val="center"/>
              <w:rPr>
                <w:rFonts w:ascii="Garamond" w:eastAsia="Garamond" w:hAnsi="Garamond" w:cs="Garamond"/>
                <w:b/>
                <w:sz w:val="20"/>
                <w:szCs w:val="20"/>
              </w:rPr>
            </w:pPr>
            <w:r>
              <w:rPr>
                <w:rFonts w:ascii="Garamond" w:eastAsia="Garamond" w:hAnsi="Garamond" w:cs="Garamond"/>
                <w:b/>
                <w:color w:val="FFFFFF"/>
                <w:sz w:val="24"/>
                <w:szCs w:val="24"/>
              </w:rPr>
              <w:t>Limiti al “riutilizzo”  dei documenti pubblicati</w:t>
            </w:r>
          </w:p>
        </w:tc>
      </w:tr>
      <w:tr w:rsidR="006C763B">
        <w:tc>
          <w:tcPr>
            <w:tcW w:w="9530" w:type="dxa"/>
            <w:gridSpan w:val="2"/>
            <w:tcBorders>
              <w:top w:val="nil"/>
            </w:tcBorders>
            <w:shd w:val="clear" w:color="auto" w:fill="auto"/>
          </w:tcPr>
          <w:p w:rsidR="006C763B" w:rsidRDefault="008D624A">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In ottemperanza a quanto disposto dal Garante per la protezione dei dati personali, i soggetti pubblici inseriscono nella sezione "Amministrazione trasparente" un </w:t>
            </w:r>
            <w:proofErr w:type="spellStart"/>
            <w:r>
              <w:rPr>
                <w:rFonts w:ascii="Garamond" w:eastAsia="Garamond" w:hAnsi="Garamond" w:cs="Garamond"/>
                <w:i/>
                <w:sz w:val="24"/>
                <w:szCs w:val="24"/>
              </w:rPr>
              <w:t>alert</w:t>
            </w:r>
            <w:proofErr w:type="spellEnd"/>
            <w:r>
              <w:rPr>
                <w:rFonts w:ascii="Garamond" w:eastAsia="Garamond" w:hAnsi="Garamond" w:cs="Garamond"/>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6C763B" w:rsidRDefault="006C763B">
      <w:pPr>
        <w:widowControl w:val="0"/>
        <w:pBdr>
          <w:top w:val="nil"/>
          <w:left w:val="nil"/>
          <w:bottom w:val="nil"/>
          <w:right w:val="nil"/>
          <w:between w:val="nil"/>
        </w:pBdr>
        <w:spacing w:after="0" w:line="360" w:lineRule="auto"/>
        <w:jc w:val="both"/>
        <w:rPr>
          <w:rFonts w:ascii="Garamond" w:eastAsia="Garamond" w:hAnsi="Garamond" w:cs="Garamond"/>
          <w:b/>
          <w:color w:val="000000"/>
          <w:sz w:val="16"/>
          <w:szCs w:val="16"/>
        </w:rPr>
      </w:pPr>
    </w:p>
    <w:p w:rsidR="006C763B" w:rsidRDefault="008D624A">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8. Tempo di conservazione dei dati</w:t>
      </w:r>
    </w:p>
    <w:p w:rsidR="006C763B" w:rsidRDefault="008D624A">
      <w:pPr>
        <w:spacing w:after="120"/>
        <w:jc w:val="both"/>
        <w:rPr>
          <w:rFonts w:ascii="Garamond" w:eastAsia="Garamond" w:hAnsi="Garamond" w:cs="Garamond"/>
          <w:sz w:val="24"/>
          <w:szCs w:val="24"/>
        </w:rPr>
      </w:pPr>
      <w:r>
        <w:rPr>
          <w:rFonts w:ascii="Garamond" w:eastAsia="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6C763B" w:rsidRDefault="008D624A">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bookmarkStart w:id="2" w:name="_heading=h.3dy6vkm" w:colFirst="0" w:colLast="0"/>
      <w:bookmarkEnd w:id="2"/>
      <w:r>
        <w:rPr>
          <w:rFonts w:ascii="Garamond" w:eastAsia="Garamond" w:hAnsi="Garamond" w:cs="Garamond"/>
          <w:b/>
          <w:color w:val="000000"/>
          <w:sz w:val="24"/>
          <w:szCs w:val="24"/>
        </w:rPr>
        <w:t>9. Luogo del Trattamento</w:t>
      </w:r>
    </w:p>
    <w:p w:rsidR="006C763B" w:rsidRDefault="008D624A">
      <w:pPr>
        <w:spacing w:after="120"/>
        <w:jc w:val="both"/>
        <w:rPr>
          <w:rFonts w:ascii="Garamond" w:eastAsia="Garamond" w:hAnsi="Garamond" w:cs="Garamond"/>
          <w:sz w:val="24"/>
          <w:szCs w:val="24"/>
        </w:rPr>
      </w:pPr>
      <w:r>
        <w:rPr>
          <w:rFonts w:ascii="Garamond" w:eastAsia="Garamond" w:hAnsi="Garamond" w:cs="Garamond"/>
          <w:sz w:val="24"/>
          <w:szCs w:val="24"/>
        </w:rPr>
        <w:t xml:space="preserve">I dati vengono trattati ed archiviati presso la Regione del Veneto. </w:t>
      </w:r>
    </w:p>
    <w:p w:rsidR="006C763B" w:rsidRDefault="008D624A" w:rsidP="006E3070">
      <w:pPr>
        <w:spacing w:after="120"/>
        <w:jc w:val="both"/>
        <w:rPr>
          <w:rFonts w:ascii="Garamond" w:eastAsia="Garamond" w:hAnsi="Garamond" w:cs="Garamond"/>
          <w:b/>
        </w:rPr>
      </w:pPr>
      <w:r>
        <w:rPr>
          <w:rFonts w:ascii="Garamond" w:eastAsia="Garamond" w:hAnsi="Garamond" w:cs="Garamond"/>
          <w:sz w:val="24"/>
          <w:szCs w:val="24"/>
        </w:rPr>
        <w:t>Specifiche misure di sicurezza sono osservate per prevenire la perdita dei dati, usi illeciti o non corretti e accessi non autorizzati.</w:t>
      </w:r>
      <w:r>
        <w:br w:type="page"/>
      </w:r>
    </w:p>
    <w:p w:rsidR="006C763B" w:rsidRDefault="008D624A">
      <w:pPr>
        <w:spacing w:after="120"/>
        <w:jc w:val="both"/>
        <w:rPr>
          <w:rFonts w:ascii="Garamond" w:eastAsia="Garamond" w:hAnsi="Garamond" w:cs="Garamond"/>
          <w:b/>
          <w:sz w:val="24"/>
          <w:szCs w:val="24"/>
        </w:rPr>
      </w:pPr>
      <w:r>
        <w:rPr>
          <w:rFonts w:ascii="Garamond" w:eastAsia="Garamond" w:hAnsi="Garamond" w:cs="Garamond"/>
          <w:b/>
          <w:sz w:val="24"/>
          <w:szCs w:val="24"/>
        </w:rPr>
        <w:lastRenderedPageBreak/>
        <w:t>Dichiarazione di presa visione dell’informativa sul conferimento e trattamento dei dati personali</w:t>
      </w:r>
    </w:p>
    <w:p w:rsidR="006C763B" w:rsidRDefault="006C763B">
      <w:pPr>
        <w:spacing w:after="120"/>
        <w:jc w:val="both"/>
        <w:rPr>
          <w:rFonts w:ascii="Garamond" w:eastAsia="Garamond" w:hAnsi="Garamond" w:cs="Garamond"/>
          <w:b/>
          <w:sz w:val="24"/>
          <w:szCs w:val="24"/>
        </w:rPr>
      </w:pPr>
    </w:p>
    <w:p w:rsidR="006C763B" w:rsidRDefault="008D624A">
      <w:pPr>
        <w:spacing w:after="120" w:line="360" w:lineRule="auto"/>
        <w:jc w:val="both"/>
        <w:rPr>
          <w:rFonts w:ascii="Garamond" w:eastAsia="Garamond" w:hAnsi="Garamond" w:cs="Garamond"/>
          <w:sz w:val="24"/>
          <w:szCs w:val="24"/>
        </w:rPr>
      </w:pPr>
      <w:r>
        <w:rPr>
          <w:rFonts w:ascii="Garamond" w:eastAsia="Garamond" w:hAnsi="Garamond" w:cs="Garamond"/>
          <w:sz w:val="24"/>
          <w:szCs w:val="24"/>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Pr>
          <w:rFonts w:ascii="Garamond" w:eastAsia="Garamond" w:hAnsi="Garamond" w:cs="Garamond"/>
          <w:i/>
          <w:sz w:val="24"/>
          <w:szCs w:val="24"/>
        </w:rPr>
        <w:t>Informativa sul conferimento e trattamento dei dati personali e sulla pubblicazione degli elementi ritenuti non sensibili nei siti istituzionali e di consultazione aperta</w:t>
      </w:r>
      <w:r>
        <w:rPr>
          <w:rFonts w:ascii="Garamond" w:eastAsia="Garamond" w:hAnsi="Garamond" w:cs="Garamond"/>
          <w:sz w:val="24"/>
          <w:szCs w:val="24"/>
        </w:rPr>
        <w:t>” pubblicato sul sito web istituzionale dell’Ente/Amministrazione</w:t>
      </w:r>
    </w:p>
    <w:p w:rsidR="006C763B" w:rsidRDefault="008D624A">
      <w:pPr>
        <w:spacing w:after="120" w:line="360" w:lineRule="auto"/>
        <w:jc w:val="center"/>
        <w:rPr>
          <w:rFonts w:ascii="Garamond" w:eastAsia="Garamond" w:hAnsi="Garamond" w:cs="Garamond"/>
          <w:b/>
          <w:sz w:val="24"/>
          <w:szCs w:val="24"/>
        </w:rPr>
      </w:pPr>
      <w:r>
        <w:rPr>
          <w:rFonts w:ascii="Garamond" w:eastAsia="Garamond" w:hAnsi="Garamond" w:cs="Garamond"/>
          <w:b/>
          <w:sz w:val="24"/>
          <w:szCs w:val="24"/>
        </w:rPr>
        <w:t xml:space="preserve">DICHIARA </w:t>
      </w:r>
    </w:p>
    <w:p w:rsidR="006C763B" w:rsidRDefault="008D624A">
      <w:pPr>
        <w:spacing w:after="120" w:line="360" w:lineRule="auto"/>
        <w:jc w:val="both"/>
        <w:rPr>
          <w:rFonts w:ascii="Garamond" w:eastAsia="Garamond" w:hAnsi="Garamond" w:cs="Garamond"/>
          <w:sz w:val="24"/>
          <w:szCs w:val="24"/>
        </w:rPr>
      </w:pPr>
      <w:r>
        <w:rPr>
          <w:rFonts w:ascii="Garamond" w:eastAsia="Garamond" w:hAnsi="Garamond" w:cs="Garamond"/>
          <w:sz w:val="24"/>
          <w:szCs w:val="24"/>
        </w:rPr>
        <w:t xml:space="preserve">di essere stato adeguatamente informato riguardo al trattamento dei propri dati personali per i fini indicati nella stessa. </w:t>
      </w:r>
    </w:p>
    <w:p w:rsidR="006C763B" w:rsidRDefault="008D624A">
      <w:pPr>
        <w:spacing w:after="120" w:line="360" w:lineRule="auto"/>
        <w:jc w:val="both"/>
        <w:rPr>
          <w:rFonts w:ascii="Garamond" w:eastAsia="Garamond" w:hAnsi="Garamond" w:cs="Garamond"/>
          <w:sz w:val="24"/>
          <w:szCs w:val="24"/>
        </w:rPr>
      </w:pPr>
      <w:r>
        <w:rPr>
          <w:rFonts w:ascii="Garamond" w:eastAsia="Garamond" w:hAnsi="Garamond" w:cs="Garamond"/>
          <w:sz w:val="24"/>
          <w:szCs w:val="24"/>
        </w:rPr>
        <w:t>Luogo e data, ________________</w:t>
      </w:r>
    </w:p>
    <w:p w:rsidR="006C763B" w:rsidRDefault="008D624A">
      <w:pPr>
        <w:tabs>
          <w:tab w:val="center" w:pos="8505"/>
        </w:tabs>
        <w:spacing w:line="260" w:lineRule="auto"/>
        <w:ind w:left="6237"/>
        <w:jc w:val="both"/>
        <w:rPr>
          <w:rFonts w:ascii="Garamond" w:eastAsia="Garamond" w:hAnsi="Garamond" w:cs="Garamond"/>
          <w:sz w:val="20"/>
          <w:szCs w:val="20"/>
        </w:rPr>
      </w:pPr>
      <w:r>
        <w:rPr>
          <w:rFonts w:ascii="Garamond" w:eastAsia="Garamond" w:hAnsi="Garamond" w:cs="Garamond"/>
          <w:sz w:val="20"/>
          <w:szCs w:val="20"/>
        </w:rPr>
        <w:t xml:space="preserve">             Firmato digitalmente</w:t>
      </w:r>
    </w:p>
    <w:p w:rsidR="006C763B" w:rsidRDefault="006C763B">
      <w:pPr>
        <w:tabs>
          <w:tab w:val="center" w:pos="8505"/>
        </w:tabs>
        <w:spacing w:line="260" w:lineRule="auto"/>
        <w:ind w:left="6237"/>
        <w:jc w:val="both"/>
        <w:rPr>
          <w:rFonts w:ascii="Garamond" w:eastAsia="Garamond" w:hAnsi="Garamond" w:cs="Garamond"/>
        </w:rPr>
      </w:pPr>
    </w:p>
    <w:p w:rsidR="006C763B" w:rsidRDefault="008D624A">
      <w:pPr>
        <w:jc w:val="right"/>
        <w:rPr>
          <w:rFonts w:ascii="Garamond" w:eastAsia="Garamond" w:hAnsi="Garamond" w:cs="Garamond"/>
          <w:sz w:val="20"/>
          <w:szCs w:val="20"/>
        </w:rPr>
      </w:pPr>
      <w:r>
        <w:rPr>
          <w:rFonts w:ascii="Garamond" w:eastAsia="Garamond" w:hAnsi="Garamond" w:cs="Garamond"/>
          <w:sz w:val="20"/>
          <w:szCs w:val="20"/>
        </w:rPr>
        <w:t>________________________________</w:t>
      </w:r>
    </w:p>
    <w:p w:rsidR="006C763B" w:rsidRDefault="008D624A">
      <w:pPr>
        <w:jc w:val="right"/>
        <w:rPr>
          <w:rFonts w:ascii="Garamond" w:eastAsia="Garamond" w:hAnsi="Garamond" w:cs="Garamond"/>
          <w:sz w:val="18"/>
          <w:szCs w:val="18"/>
        </w:rPr>
      </w:pPr>
      <w:r>
        <w:rPr>
          <w:rFonts w:ascii="Garamond" w:eastAsia="Garamond" w:hAnsi="Garamond" w:cs="Garamond"/>
          <w:i/>
          <w:sz w:val="18"/>
          <w:szCs w:val="18"/>
        </w:rPr>
        <w:t xml:space="preserve"> (indicare nome e cognome del firmatario) </w:t>
      </w:r>
      <w:r>
        <w:rPr>
          <w:rFonts w:ascii="Garamond" w:eastAsia="Garamond" w:hAnsi="Garamond" w:cs="Garamond"/>
          <w:sz w:val="18"/>
          <w:szCs w:val="18"/>
        </w:rPr>
        <w:t>(</w:t>
      </w:r>
      <w:r>
        <w:rPr>
          <w:rFonts w:ascii="Garamond" w:eastAsia="Garamond" w:hAnsi="Garamond" w:cs="Garamond"/>
          <w:sz w:val="18"/>
          <w:szCs w:val="18"/>
          <w:vertAlign w:val="superscript"/>
        </w:rPr>
        <w:footnoteReference w:id="2"/>
      </w:r>
      <w:r>
        <w:rPr>
          <w:rFonts w:ascii="Garamond" w:eastAsia="Garamond" w:hAnsi="Garamond" w:cs="Garamond"/>
          <w:sz w:val="18"/>
          <w:szCs w:val="18"/>
        </w:rPr>
        <w:t>)</w:t>
      </w:r>
    </w:p>
    <w:sectPr w:rsidR="006C763B">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5C" w:rsidRDefault="00A2785C">
      <w:pPr>
        <w:spacing w:after="0" w:line="240" w:lineRule="auto"/>
      </w:pPr>
      <w:r>
        <w:separator/>
      </w:r>
    </w:p>
  </w:endnote>
  <w:endnote w:type="continuationSeparator" w:id="0">
    <w:p w:rsidR="00A2785C" w:rsidRDefault="00A2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6C763B">
    <w:pPr>
      <w:pBdr>
        <w:top w:val="nil"/>
        <w:left w:val="nil"/>
        <w:bottom w:val="nil"/>
        <w:right w:val="nil"/>
        <w:between w:val="nil"/>
      </w:pBdr>
      <w:tabs>
        <w:tab w:val="center" w:pos="4819"/>
        <w:tab w:val="right" w:pos="9638"/>
      </w:tabs>
      <w:spacing w:after="0" w:line="240" w:lineRule="auto"/>
      <w:rPr>
        <w:color w:val="000000"/>
      </w:rPr>
    </w:pPr>
  </w:p>
  <w:p w:rsidR="006C763B" w:rsidRDefault="006C76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8D624A">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6728">
      <w:rPr>
        <w:noProof/>
        <w:color w:val="000000"/>
      </w:rPr>
      <w:t>3</w:t>
    </w:r>
    <w:r>
      <w:rPr>
        <w:color w:val="000000"/>
      </w:rPr>
      <w:fldChar w:fldCharType="end"/>
    </w:r>
  </w:p>
  <w:p w:rsidR="006C763B" w:rsidRDefault="006C763B">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6C763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5C" w:rsidRDefault="00A2785C">
      <w:pPr>
        <w:spacing w:after="0" w:line="240" w:lineRule="auto"/>
      </w:pPr>
      <w:r>
        <w:separator/>
      </w:r>
    </w:p>
  </w:footnote>
  <w:footnote w:type="continuationSeparator" w:id="0">
    <w:p w:rsidR="00A2785C" w:rsidRDefault="00A2785C">
      <w:pPr>
        <w:spacing w:after="0" w:line="240" w:lineRule="auto"/>
      </w:pPr>
      <w:r>
        <w:continuationSeparator/>
      </w:r>
    </w:p>
  </w:footnote>
  <w:footnote w:id="1">
    <w:p w:rsidR="006C763B" w:rsidRDefault="008D624A">
      <w:pPr>
        <w:pStyle w:val="Titolo3"/>
        <w:rPr>
          <w:rFonts w:ascii="Garamond" w:eastAsia="Garamond" w:hAnsi="Garamond" w:cs="Garamond"/>
          <w:b w:val="0"/>
          <w:color w:val="44546A"/>
          <w:sz w:val="18"/>
          <w:szCs w:val="18"/>
        </w:rPr>
      </w:pPr>
      <w:r>
        <w:rPr>
          <w:vertAlign w:val="superscript"/>
        </w:rPr>
        <w:footnoteRef/>
      </w:r>
      <w:r>
        <w:rPr>
          <w:rFonts w:ascii="Garamond" w:eastAsia="Garamond" w:hAnsi="Garamond" w:cs="Garamond"/>
          <w:b w:val="0"/>
          <w:color w:val="000000"/>
          <w:sz w:val="18"/>
          <w:szCs w:val="18"/>
          <w:vertAlign w:val="superscript"/>
        </w:rPr>
        <w:t xml:space="preserve"> </w:t>
      </w:r>
      <w:r>
        <w:rPr>
          <w:rFonts w:ascii="Garamond" w:eastAsia="Garamond" w:hAnsi="Garamond" w:cs="Garamond"/>
          <w:b w:val="0"/>
          <w:color w:val="000000"/>
          <w:sz w:val="18"/>
          <w:szCs w:val="18"/>
        </w:rPr>
        <w:t>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p>
  </w:footnote>
  <w:footnote w:id="2">
    <w:p w:rsidR="006C763B" w:rsidRDefault="008D624A">
      <w:pPr>
        <w:ind w:left="284" w:hanging="284"/>
        <w:jc w:val="both"/>
        <w:rPr>
          <w:rFonts w:ascii="Garamond" w:eastAsia="Garamond" w:hAnsi="Garamond" w:cs="Garamond"/>
          <w:sz w:val="18"/>
          <w:szCs w:val="18"/>
        </w:rPr>
      </w:pPr>
      <w:r>
        <w:rPr>
          <w:vertAlign w:val="superscript"/>
        </w:rPr>
        <w:footnoteRef/>
      </w:r>
      <w:r>
        <w:rPr>
          <w:rFonts w:ascii="Garamond" w:eastAsia="Garamond" w:hAnsi="Garamond" w:cs="Garamond"/>
          <w:sz w:val="18"/>
          <w:szCs w:val="18"/>
        </w:rPr>
        <w:t xml:space="preserve"> 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6C763B">
    <w:pPr>
      <w:pBdr>
        <w:top w:val="nil"/>
        <w:left w:val="nil"/>
        <w:bottom w:val="nil"/>
        <w:right w:val="nil"/>
        <w:between w:val="nil"/>
      </w:pBdr>
      <w:tabs>
        <w:tab w:val="center" w:pos="4819"/>
        <w:tab w:val="right" w:pos="9638"/>
      </w:tabs>
      <w:spacing w:after="0" w:line="240" w:lineRule="auto"/>
      <w:rPr>
        <w:color w:val="000000"/>
      </w:rPr>
    </w:pPr>
  </w:p>
  <w:p w:rsidR="006C763B" w:rsidRDefault="006C76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8D624A">
    <w:pPr>
      <w:spacing w:after="0"/>
      <w:jc w:val="both"/>
      <w:rPr>
        <w:rFonts w:ascii="Garamond" w:eastAsia="Garamond" w:hAnsi="Garamond" w:cs="Garamond"/>
        <w:b/>
        <w:sz w:val="24"/>
        <w:szCs w:val="24"/>
      </w:rPr>
    </w:pPr>
    <w:r w:rsidRPr="004960DE">
      <w:rPr>
        <w:rFonts w:ascii="Garamond" w:eastAsia="Garamond" w:hAnsi="Garamond" w:cs="Garamond"/>
        <w:b/>
        <w:sz w:val="24"/>
        <w:szCs w:val="24"/>
      </w:rPr>
      <w:t xml:space="preserve">ALLEGATO </w:t>
    </w:r>
    <w:r w:rsidR="00586F7E" w:rsidRPr="004960DE">
      <w:rPr>
        <w:rFonts w:ascii="Garamond" w:eastAsia="Garamond" w:hAnsi="Garamond" w:cs="Garamond"/>
        <w:b/>
        <w:sz w:val="24"/>
        <w:szCs w:val="24"/>
      </w:rPr>
      <w:t>C</w:t>
    </w:r>
    <w:r w:rsidRPr="004960DE">
      <w:rPr>
        <w:rFonts w:ascii="Garamond" w:eastAsia="Garamond" w:hAnsi="Garamond" w:cs="Garamond"/>
        <w:b/>
        <w:sz w:val="24"/>
        <w:szCs w:val="24"/>
      </w:rPr>
      <w:t xml:space="preserve"> </w:t>
    </w:r>
    <w:r w:rsidR="00586F7E" w:rsidRPr="004960DE">
      <w:rPr>
        <w:rFonts w:ascii="Times New Roman" w:eastAsia="Times New Roman" w:hAnsi="Times New Roman" w:cs="Times New Roman"/>
        <w:b/>
        <w:color w:val="000000"/>
        <w:sz w:val="24"/>
        <w:szCs w:val="24"/>
      </w:rPr>
      <w:t xml:space="preserve">al Decreto </w:t>
    </w:r>
    <w:r w:rsidRPr="004960DE">
      <w:rPr>
        <w:rFonts w:ascii="Times New Roman" w:eastAsia="Times New Roman" w:hAnsi="Times New Roman" w:cs="Times New Roman"/>
        <w:b/>
        <w:color w:val="000000"/>
        <w:sz w:val="24"/>
        <w:szCs w:val="24"/>
      </w:rPr>
      <w:t xml:space="preserve">n. </w:t>
    </w:r>
    <w:r w:rsidR="004960DE" w:rsidRPr="004960DE">
      <w:rPr>
        <w:rFonts w:ascii="Times New Roman" w:eastAsia="Times New Roman" w:hAnsi="Times New Roman" w:cs="Times New Roman"/>
        <w:b/>
        <w:color w:val="000000"/>
        <w:sz w:val="24"/>
        <w:szCs w:val="24"/>
      </w:rPr>
      <w:t>1084</w:t>
    </w:r>
    <w:r w:rsidRPr="004960DE">
      <w:rPr>
        <w:rFonts w:ascii="Times New Roman" w:eastAsia="Times New Roman" w:hAnsi="Times New Roman" w:cs="Times New Roman"/>
        <w:b/>
        <w:color w:val="000000"/>
        <w:sz w:val="24"/>
        <w:szCs w:val="24"/>
      </w:rPr>
      <w:t xml:space="preserve"> del </w:t>
    </w:r>
    <w:r w:rsidR="006D144A" w:rsidRPr="004960DE">
      <w:rPr>
        <w:rFonts w:ascii="Times New Roman" w:eastAsia="Times New Roman" w:hAnsi="Times New Roman" w:cs="Times New Roman"/>
        <w:b/>
        <w:color w:val="000000"/>
        <w:sz w:val="24"/>
        <w:szCs w:val="24"/>
      </w:rPr>
      <w:t>16/09/2022</w:t>
    </w:r>
  </w:p>
  <w:p w:rsidR="006C763B" w:rsidRDefault="008D624A">
    <w:pPr>
      <w:spacing w:after="0"/>
      <w:jc w:val="both"/>
      <w:rPr>
        <w:rFonts w:ascii="Garamond" w:eastAsia="Garamond" w:hAnsi="Garamond" w:cs="Garamond"/>
        <w:b/>
        <w:sz w:val="24"/>
        <w:szCs w:val="24"/>
      </w:rPr>
    </w:pPr>
    <w:r>
      <w:rPr>
        <w:rFonts w:ascii="Garamond" w:eastAsia="Garamond" w:hAnsi="Garamond" w:cs="Garamond"/>
        <w:b/>
        <w:noProof/>
        <w:sz w:val="24"/>
        <w:szCs w:val="24"/>
      </w:rPr>
      <w:drawing>
        <wp:inline distT="114300" distB="114300" distL="114300" distR="114300">
          <wp:extent cx="6119820" cy="698500"/>
          <wp:effectExtent l="0" t="0" r="0" b="0"/>
          <wp:docPr id="1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820" cy="698500"/>
                  </a:xfrm>
                  <a:prstGeom prst="rect">
                    <a:avLst/>
                  </a:prstGeom>
                  <a:ln/>
                </pic:spPr>
              </pic:pic>
            </a:graphicData>
          </a:graphic>
        </wp:inline>
      </w:drawing>
    </w:r>
  </w:p>
  <w:p w:rsidR="006C763B" w:rsidRDefault="006C763B">
    <w:pPr>
      <w:spacing w:after="0"/>
      <w:jc w:val="both"/>
      <w:rPr>
        <w:rFonts w:ascii="Garamond" w:eastAsia="Garamond" w:hAnsi="Garamond" w:cs="Garamond"/>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3B" w:rsidRDefault="006C763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903"/>
    <w:multiLevelType w:val="multilevel"/>
    <w:tmpl w:val="DD28D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B6B36"/>
    <w:multiLevelType w:val="multilevel"/>
    <w:tmpl w:val="927E7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007C95"/>
    <w:multiLevelType w:val="multilevel"/>
    <w:tmpl w:val="45D8D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A54822"/>
    <w:multiLevelType w:val="multilevel"/>
    <w:tmpl w:val="28D61D56"/>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BA3BB3"/>
    <w:multiLevelType w:val="multilevel"/>
    <w:tmpl w:val="DE30609E"/>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3B"/>
    <w:rsid w:val="00054CB4"/>
    <w:rsid w:val="001A6728"/>
    <w:rsid w:val="002C53FB"/>
    <w:rsid w:val="004423D2"/>
    <w:rsid w:val="004960DE"/>
    <w:rsid w:val="004E6567"/>
    <w:rsid w:val="00527C62"/>
    <w:rsid w:val="00586F7E"/>
    <w:rsid w:val="006C763B"/>
    <w:rsid w:val="006D144A"/>
    <w:rsid w:val="006E154F"/>
    <w:rsid w:val="006E3070"/>
    <w:rsid w:val="008D624A"/>
    <w:rsid w:val="00A2785C"/>
    <w:rsid w:val="00E80C74"/>
    <w:rsid w:val="00E95E5C"/>
    <w:rsid w:val="00F21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5FA3"/>
  <w15:docId w15:val="{27FFF849-6093-4ECE-BFF7-C6469F65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top w:w="100" w:type="dxa"/>
        <w:left w:w="100" w:type="dxa"/>
        <w:bottom w:w="100" w:type="dxa"/>
        <w:right w:w="100" w:type="dxa"/>
      </w:tblCellMar>
    </w:tblPr>
  </w:style>
  <w:style w:type="table" w:customStyle="1" w:styleId="a3">
    <w:basedOn w:val="TableNormal6"/>
    <w:tblPr>
      <w:tblStyleRowBandSize w:val="1"/>
      <w:tblStyleColBandSize w:val="1"/>
      <w:tblCellMar>
        <w:top w:w="100" w:type="dxa"/>
        <w:left w:w="100" w:type="dxa"/>
        <w:bottom w:w="100" w:type="dxa"/>
        <w:right w:w="100"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formazioneistruzione@regione.veneto.it%20"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po@pec.regione.veneto.it" TargetMode="External"/><Relationship Id="rId20" Type="http://schemas.openxmlformats.org/officeDocument/2006/relationships/hyperlink" Target="https://www.bosettiegatti.eu/info/norme/statali/2013_003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regione.venet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osettiegatti.eu/info/norme/statali/2013_0033.ht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t5XOJQkUq6vZ4K9sqeuvJ7NuQ==">AMUW2mWZnjytSY/rN1LZLxZ8/5/Pa2k+U7FQOXGB/tIpRfSvg92Z9u1mYlHQzrYzEAWVp117VB/I9Xt0NxJMsUhw9F3w7cSb/PjgDx+IwoSOykxF/18vu0O29IpFUlPgYRM3xEcvDwLQJidKna1tDPWDIAOEJA6a7g==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3226</Words>
  <Characters>18389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Regione del Veneto</cp:lastModifiedBy>
  <cp:revision>14</cp:revision>
  <cp:lastPrinted>2022-09-22T13:24:00Z</cp:lastPrinted>
  <dcterms:created xsi:type="dcterms:W3CDTF">2022-05-11T14:32:00Z</dcterms:created>
  <dcterms:modified xsi:type="dcterms:W3CDTF">2022-09-22T13:28:00Z</dcterms:modified>
</cp:coreProperties>
</file>