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rPr>
      </w:pPr>
      <w:bookmarkStart w:colFirst="0" w:colLast="0" w:name="_n2kqzn5itn87" w:id="0"/>
      <w:bookmarkEnd w:id="0"/>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b w:val="1"/>
          <w:sz w:val="24"/>
          <w:szCs w:val="24"/>
        </w:rPr>
      </w:pPr>
      <w:bookmarkStart w:colFirst="0" w:colLast="0" w:name="_gjdgxs" w:id="1"/>
      <w:bookmarkEnd w:id="1"/>
      <w:r w:rsidDel="00000000" w:rsidR="00000000" w:rsidRPr="00000000">
        <w:rPr>
          <w:rFonts w:ascii="Times New Roman" w:cs="Times New Roman" w:eastAsia="Times New Roman" w:hAnsi="Times New Roman"/>
          <w:b w:val="1"/>
          <w:sz w:val="24"/>
          <w:szCs w:val="24"/>
          <w:rtl w:val="0"/>
        </w:rPr>
        <w:t xml:space="preserve">Informativa sul trattamento dati e pubblicazione PNRR</w:t>
      </w:r>
    </w:p>
    <w:p w:rsidR="00000000" w:rsidDel="00000000" w:rsidP="00000000" w:rsidRDefault="00000000" w:rsidRPr="00000000" w14:paraId="00000004">
      <w:pPr>
        <w:spacing w:line="276" w:lineRule="auto"/>
        <w:jc w:val="both"/>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Oggetto del Trattamento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ReGiS, messo a disposizione dal Servizio centrale per il PNRR o di altri sistemi informativi locali adottati per lo scambio elettronico dei dati) e la pubblicazione degli elementi ritenuti non sensibili nei siti istituzionali e di consultazione aperta </w:t>
      </w:r>
      <w:r w:rsidDel="00000000" w:rsidR="00000000" w:rsidRPr="00000000">
        <w:rPr>
          <w:rFonts w:ascii="Times New Roman" w:cs="Times New Roman" w:eastAsia="Times New Roman" w:hAnsi="Times New Roman"/>
          <w:rtl w:val="0"/>
        </w:rPr>
        <w:t xml:space="preserve">www.regione.veneto.it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trattamento dei dati personali avviene nel rispetto della dignità umana, dei diritti e delle libertà fondamentali della persona.</w:t>
      </w:r>
    </w:p>
    <w:tbl>
      <w:tblPr>
        <w:tblStyle w:val="Table1"/>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65"/>
        <w:tblGridChange w:id="0">
          <w:tblGrid>
            <w:gridCol w:w="10065"/>
          </w:tblGrid>
        </w:tblGridChange>
      </w:tblGrid>
      <w:tr>
        <w:trPr>
          <w:cantSplit w:val="0"/>
          <w:trHeight w:val="5389"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08">
            <w:pPr>
              <w:spacing w:line="276" w:lineRule="auto"/>
              <w:ind w:right="285"/>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Normativa di riferimento</w:t>
            </w:r>
          </w:p>
          <w:p w:rsidR="00000000" w:rsidDel="00000000" w:rsidP="00000000" w:rsidRDefault="00000000" w:rsidRPr="00000000" w14:paraId="00000009">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Disposizioni contenute nel del Regolamento (UE) 2021/241 (Dispositivo per la Ripresa e la Resilienza (RRF);</w:t>
            </w:r>
          </w:p>
          <w:p w:rsidR="00000000" w:rsidDel="00000000" w:rsidP="00000000" w:rsidRDefault="00000000" w:rsidRPr="00000000" w14:paraId="0000000A">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LEGGE 29 luglio 2021, n. 108 Conversione in legge, con modificazioni, del decreto-legge 31 maggio 2021, n. 77, recante “Governance del Piano nazionale di ripresa e resilienza e prime misure di rafforzamento delle strutture amministrative e di accelerazione e snellimento delle procedure”.</w:t>
            </w:r>
          </w:p>
          <w:p w:rsidR="00000000" w:rsidDel="00000000" w:rsidP="00000000" w:rsidRDefault="00000000" w:rsidRPr="00000000" w14:paraId="0000000B">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Codice della Privacy (d.lgs. 196/2003) coordinato e aggiornato, da ultimo, con le modifiche apportate dalla legge 27 dicembre 2019, n. 160, dal d.l. 14 giugno 2019, n. 53, dal D.M. 15 marzo 2019 e dal decreto di adeguamento d.l. 10 agosto 2018, n. 101, alle disposizioni contenute nel Regolamento UE 2016/679 (General data protection regulation, c.d. GDPR Privacy);</w:t>
            </w:r>
          </w:p>
          <w:p w:rsidR="00000000" w:rsidDel="00000000" w:rsidP="00000000" w:rsidRDefault="00000000" w:rsidRPr="00000000" w14:paraId="0000000C">
            <w:pPr>
              <w:spacing w:line="276" w:lineRule="auto"/>
              <w:ind w:right="285"/>
              <w:jc w:val="both"/>
              <w:rPr>
                <w:rFonts w:ascii="Garamond" w:cs="Garamond" w:eastAsia="Garamond" w:hAnsi="Garamond"/>
                <w:i w:val="1"/>
                <w:color w:val="ffffff"/>
                <w:sz w:val="24"/>
                <w:szCs w:val="24"/>
              </w:rPr>
            </w:pPr>
            <w:r w:rsidDel="00000000" w:rsidR="00000000" w:rsidRPr="00000000">
              <w:rPr>
                <w:rFonts w:ascii="Times New Roman" w:cs="Times New Roman" w:eastAsia="Times New Roman" w:hAnsi="Times New Roman"/>
                <w:i w:val="1"/>
                <w:color w:val="000000"/>
                <w:sz w:val="22"/>
                <w:szCs w:val="22"/>
                <w:rtl w:val="0"/>
              </w:rPr>
              <w:t xml:space="preserve">▪        d.lgs. 25 maggio 2016, n. 97, Revisione e semplificazione delle disposizioni in materia di prevenzione della corruzione, pubblicità e trasparenza, correttivo della legge</w:t>
            </w:r>
            <w:hyperlink r:id="rId7">
              <w:r w:rsidDel="00000000" w:rsidR="00000000" w:rsidRPr="00000000">
                <w:rPr>
                  <w:rFonts w:ascii="Times New Roman" w:cs="Times New Roman" w:eastAsia="Times New Roman" w:hAnsi="Times New Roman"/>
                  <w:i w:val="1"/>
                  <w:color w:val="000000"/>
                  <w:sz w:val="22"/>
                  <w:szCs w:val="22"/>
                  <w:rtl w:val="0"/>
                </w:rPr>
                <w:t xml:space="preserve"> n. 190 del 6 novembre 2012</w:t>
              </w:r>
            </w:hyperlink>
            <w:r w:rsidDel="00000000" w:rsidR="00000000" w:rsidRPr="00000000">
              <w:rPr>
                <w:rFonts w:ascii="Times New Roman" w:cs="Times New Roman" w:eastAsia="Times New Roman" w:hAnsi="Times New Roman"/>
                <w:i w:val="1"/>
                <w:color w:val="000000"/>
                <w:sz w:val="22"/>
                <w:szCs w:val="22"/>
                <w:rtl w:val="0"/>
              </w:rPr>
              <w:t xml:space="preserve"> e del d.l.</w:t>
            </w:r>
            <w:hyperlink r:id="rId8">
              <w:r w:rsidDel="00000000" w:rsidR="00000000" w:rsidRPr="00000000">
                <w:rPr>
                  <w:rFonts w:ascii="Times New Roman" w:cs="Times New Roman" w:eastAsia="Times New Roman" w:hAnsi="Times New Roman"/>
                  <w:i w:val="1"/>
                  <w:color w:val="000000"/>
                  <w:sz w:val="22"/>
                  <w:szCs w:val="22"/>
                  <w:rtl w:val="0"/>
                </w:rPr>
                <w:t xml:space="preserve"> 14 marzo 2013, n. 33</w:t>
              </w:r>
            </w:hyperlink>
            <w:r w:rsidDel="00000000" w:rsidR="00000000" w:rsidRPr="00000000">
              <w:rPr>
                <w:rFonts w:ascii="Times New Roman" w:cs="Times New Roman" w:eastAsia="Times New Roman" w:hAnsi="Times New Roman"/>
                <w:i w:val="1"/>
                <w:color w:val="000000"/>
                <w:sz w:val="22"/>
                <w:szCs w:val="22"/>
                <w:rtl w:val="0"/>
              </w:rPr>
              <w:t xml:space="preserve">, ai sensi dell'</w:t>
            </w:r>
            <w:hyperlink r:id="rId9">
              <w:r w:rsidDel="00000000" w:rsidR="00000000" w:rsidRPr="00000000">
                <w:rPr>
                  <w:rFonts w:ascii="Times New Roman" w:cs="Times New Roman" w:eastAsia="Times New Roman" w:hAnsi="Times New Roman"/>
                  <w:i w:val="1"/>
                  <w:color w:val="000000"/>
                  <w:sz w:val="22"/>
                  <w:szCs w:val="22"/>
                  <w:rtl w:val="0"/>
                </w:rPr>
                <w:t xml:space="preserve">art. 7 della legge n. 124 del 7 agosto 2015,</w:t>
              </w:r>
            </w:hyperlink>
            <w:r w:rsidDel="00000000" w:rsidR="00000000" w:rsidRPr="00000000">
              <w:rPr>
                <w:rFonts w:ascii="Times New Roman" w:cs="Times New Roman" w:eastAsia="Times New Roman" w:hAnsi="Times New Roman"/>
                <w:i w:val="1"/>
                <w:color w:val="000000"/>
                <w:sz w:val="22"/>
                <w:szCs w:val="22"/>
                <w:rtl w:val="0"/>
              </w:rPr>
              <w:t xml:space="preserve"> in materia di riorganizzazione delle Amministrazioni pubbliche.</w:t>
            </w:r>
            <w:r w:rsidDel="00000000" w:rsidR="00000000" w:rsidRPr="00000000">
              <w:rPr>
                <w:rtl w:val="0"/>
              </w:rPr>
            </w:r>
          </w:p>
        </w:tc>
      </w:tr>
    </w:tbl>
    <w:p w:rsidR="00000000" w:rsidDel="00000000" w:rsidP="00000000" w:rsidRDefault="00000000" w:rsidRPr="00000000" w14:paraId="0000000D">
      <w:pPr>
        <w:spacing w:after="0" w:before="240" w:line="276" w:lineRule="auto"/>
        <w:jc w:val="both"/>
        <w:rPr>
          <w:rFonts w:ascii="Garamond" w:cs="Garamond" w:eastAsia="Garamond" w:hAnsi="Garamond"/>
          <w:b w:val="1"/>
          <w:smallCaps w:val="1"/>
          <w:sz w:val="24"/>
          <w:szCs w:val="24"/>
        </w:rPr>
      </w:pPr>
      <w:r w:rsidDel="00000000" w:rsidR="00000000" w:rsidRPr="00000000">
        <w:rPr>
          <w:rFonts w:ascii="Garamond" w:cs="Garamond" w:eastAsia="Garamond" w:hAnsi="Garamond"/>
          <w:b w:val="1"/>
          <w:smallCaps w:val="1"/>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Finalità del trattamento</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Conferimento dati nell’ambito delle iniziative PNRR</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ottemperanza alle disposizioni previste nel Dispositivo per la Ripresa e la Resilienza (RRF) e dal Decreto Legge 77 del 2021 convertito in Legge 29 luglio 2021, n. 108</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 Soggetto attuatore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L’Amministrazione centrale titolare di interventi,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ReGiS,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Tipologie di dati conferiti</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s.m.i. di cui alla Circolare MEF n. 18 del 30 aprile 2014 revisionato sulla base delle specificità attuative del PNRR e comunicato tramite apposita nota circolare del Servizio Centrale per il PNRR.</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titolo non esaustivo si indicano le principali informazioni oggetto di rilevazione: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anagrafici del progetto e classificazioni identificative, quali CUP, CIG, identificativo del progetto, riferimenti alla Missione/Componente/Misura di riferimento, identificativo del Soggetto attuatore, tipologia di progetto, localizzazione;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relativi ai soggetti coinvolti nell’attuazione, quali i Soggetti attuatori, realizzatori, destinatari degli interventi, incluso codice fiscale e/o partita IVA;</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finanziari, quali importo finanziato, eventuali altre fonti di finanziamento, quadro economico e relative voci di spesa, impegni contabili, impegni giuridicamente vincolanti, spese, pagamenti, recuperi, trasferimenti erogati;</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procedurali, quali cronoprogramma e step relativi alle diverse procedure di gara (es: affidamento lavori, acquisto beni e servizi) con indicazione della relativa tempistica e delle pertinenti voci di spesa;</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fisici, (previsti e realizzati) quali indicatori di output (progressi compiuti) e di outcome (effetti generati) attraverso la valorizzazione di un set di indicatori specifico e la raccolta e catalogazione di documentazione a supporto;</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livello di conseguimento di milestone e target, per gli interventi che concorrono al loro raggiungimento;</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relativi all’aggiornamento trimestrale relativo all’analisi degli scostamenti per ciascuna M&amp;T prevista nel Piano;</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elementi utili alla verifica del contributo all’obiettivo digitale e all’obiettivo sulla mitigazione del cambiamento climatico;</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elementi utili alla verifica del soddisfacimento del requisito “Do No Significant Harm (DNSH)”;</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jc w:val="both"/>
        <w:rPr>
          <w:rFonts w:ascii="Garamond" w:cs="Garamond" w:eastAsia="Garamond" w:hAnsi="Garamond"/>
          <w:sz w:val="24"/>
          <w:szCs w:val="24"/>
        </w:rPr>
      </w:pPr>
      <w:r w:rsidDel="00000000" w:rsidR="00000000" w:rsidRPr="00000000">
        <w:rPr>
          <w:rFonts w:ascii="Times New Roman" w:cs="Times New Roman" w:eastAsia="Times New Roman" w:hAnsi="Times New Roman"/>
          <w:rtl w:val="0"/>
        </w:rPr>
        <w:t xml:space="preserve">▪ atti e documentazione probatoria dell’avanzamento attuativo di progetto</w:t>
      </w:r>
      <w:r w:rsidDel="00000000" w:rsidR="00000000" w:rsidRPr="00000000">
        <w:rPr>
          <w:rFonts w:ascii="Garamond" w:cs="Garamond" w:eastAsia="Garamond" w:hAnsi="Garamond"/>
          <w:sz w:val="24"/>
          <w:szCs w:val="24"/>
          <w:rtl w:val="0"/>
        </w:rPr>
        <w:t xml:space="preserve">.</w:t>
      </w:r>
    </w:p>
    <w:tbl>
      <w:tblPr>
        <w:tblStyle w:val="Table2"/>
        <w:tblW w:w="103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9493"/>
        <w:tblGridChange w:id="0">
          <w:tblGrid>
            <w:gridCol w:w="855"/>
            <w:gridCol w:w="9493"/>
          </w:tblGrid>
        </w:tblGridChange>
      </w:tblGrid>
      <w:tr>
        <w:trPr>
          <w:cantSplit w:val="0"/>
          <w:trHeight w:val="5690"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24">
            <w:pPr>
              <w:spacing w:line="276" w:lineRule="auto"/>
              <w:jc w:val="both"/>
              <w:rPr>
                <w:b w:val="1"/>
                <w:i w:val="1"/>
                <w:smallCaps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25">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definizioni </w:t>
            </w:r>
          </w:p>
          <w:p w:rsidR="00000000" w:rsidDel="00000000" w:rsidP="00000000" w:rsidRDefault="00000000" w:rsidRPr="00000000" w14:paraId="00000026">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Amministrazioni centrali titolari di interventi PNRR</w:t>
            </w:r>
          </w:p>
          <w:p w:rsidR="00000000" w:rsidDel="00000000" w:rsidP="00000000" w:rsidRDefault="00000000" w:rsidRPr="00000000" w14:paraId="00000027">
            <w:pPr>
              <w:spacing w:after="120" w:line="27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Ministeri e strutture della Presidenza del Consiglio dei ministri responsabili dell'attuazione delle riforme e degli investimenti (ossia delle Misure) previsti nel PNRR</w:t>
            </w:r>
          </w:p>
          <w:p w:rsidR="00000000" w:rsidDel="00000000" w:rsidP="00000000" w:rsidRDefault="00000000" w:rsidRPr="00000000" w14:paraId="00000028">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Unità di Missione per l’attuazione degli interventi PNRR – MLPS</w:t>
            </w:r>
          </w:p>
          <w:p w:rsidR="00000000" w:rsidDel="00000000" w:rsidP="00000000" w:rsidRDefault="00000000" w:rsidRPr="00000000" w14:paraId="00000029">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attuatore</w:t>
            </w:r>
          </w:p>
          <w:p w:rsidR="00000000" w:rsidDel="00000000" w:rsidP="00000000" w:rsidRDefault="00000000" w:rsidRPr="00000000" w14:paraId="0000002A">
            <w:pPr>
              <w:spacing w:after="240" w:before="240" w:line="256" w:lineRule="auto"/>
              <w:ind w:left="340" w:firstLine="0"/>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i w:val="1"/>
                <w:color w:val="000000"/>
                <w:sz w:val="24"/>
                <w:szCs w:val="24"/>
                <w:rtl w:val="0"/>
              </w:rPr>
              <w:t xml:space="preserve">Soggetto pubblico o privato responsabile dell’attuazione dell’intervento/progetto finanziato dal PNRR</w:t>
            </w:r>
            <w:r w:rsidDel="00000000" w:rsidR="00000000" w:rsidRPr="00000000">
              <w:rPr>
                <w:rFonts w:ascii="Garamond" w:cs="Garamond" w:eastAsia="Garamond" w:hAnsi="Garamond"/>
                <w:b w:val="1"/>
                <w:i w:val="1"/>
                <w:smallCaps w:val="1"/>
                <w:color w:val="000000"/>
                <w:sz w:val="24"/>
                <w:szCs w:val="24"/>
                <w:rtl w:val="0"/>
              </w:rPr>
              <w:t xml:space="preserve">.</w:t>
            </w:r>
          </w:p>
          <w:p w:rsidR="00000000" w:rsidDel="00000000" w:rsidP="00000000" w:rsidRDefault="00000000" w:rsidRPr="00000000" w14:paraId="0000002B">
            <w:pPr>
              <w:spacing w:after="240" w:before="240" w:line="25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rsidR="00000000" w:rsidDel="00000000" w:rsidP="00000000" w:rsidRDefault="00000000" w:rsidRPr="00000000" w14:paraId="0000002C">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DG Politiche Attive del lavoro – MLPS</w:t>
            </w:r>
          </w:p>
          <w:p w:rsidR="00000000" w:rsidDel="00000000" w:rsidP="00000000" w:rsidRDefault="00000000" w:rsidRPr="00000000" w14:paraId="0000002D">
            <w:pPr>
              <w:spacing w:after="0" w:line="240" w:lineRule="auto"/>
              <w:rPr>
                <w:rFonts w:ascii="Garamond" w:cs="Garamond" w:eastAsia="Garamond" w:hAnsi="Garamond"/>
                <w:b w:val="1"/>
                <w:i w:val="1"/>
                <w:color w:val="000000"/>
                <w:sz w:val="22"/>
                <w:szCs w:val="22"/>
              </w:rPr>
            </w:pPr>
            <w:r w:rsidDel="00000000" w:rsidR="00000000" w:rsidRPr="00000000">
              <w:rPr>
                <w:rtl w:val="0"/>
              </w:rPr>
            </w:r>
          </w:p>
          <w:p w:rsidR="00000000" w:rsidDel="00000000" w:rsidP="00000000" w:rsidRDefault="00000000" w:rsidRPr="00000000" w14:paraId="0000002E">
            <w:pPr>
              <w:spacing w:after="120" w:before="12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realizzatore o soggetto esecutore</w:t>
            </w:r>
          </w:p>
          <w:p w:rsidR="00000000" w:rsidDel="00000000" w:rsidP="00000000" w:rsidRDefault="00000000" w:rsidRPr="00000000" w14:paraId="0000002F">
            <w:pPr>
              <w:spacing w:after="240" w:before="240" w:line="25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rsidR="00000000" w:rsidDel="00000000" w:rsidP="00000000" w:rsidRDefault="00000000" w:rsidRPr="00000000" w14:paraId="00000030">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Regione del Veneto</w:t>
            </w:r>
          </w:p>
          <w:p w:rsidR="00000000" w:rsidDel="00000000" w:rsidP="00000000" w:rsidRDefault="00000000" w:rsidRPr="00000000" w14:paraId="00000031">
            <w:pPr>
              <w:spacing w:after="240" w:before="240" w:line="25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destinatario</w:t>
            </w:r>
          </w:p>
          <w:p w:rsidR="00000000" w:rsidDel="00000000" w:rsidP="00000000" w:rsidRDefault="00000000" w:rsidRPr="00000000" w14:paraId="00000032">
            <w:pPr>
              <w:spacing w:after="240" w:before="240" w:line="256" w:lineRule="auto"/>
              <w:ind w:left="340" w:firstLine="0"/>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i w:val="1"/>
                <w:color w:val="000000"/>
                <w:sz w:val="24"/>
                <w:szCs w:val="24"/>
                <w:rtl w:val="0"/>
              </w:rPr>
              <w:t xml:space="preserve">Soggetto destinatario finale dei fondi (es. Impresa, individuo, famiglia, amministrazione pubblica ecc.)</w:t>
            </w:r>
            <w:r w:rsidDel="00000000" w:rsidR="00000000" w:rsidRPr="00000000">
              <w:rPr>
                <w:rFonts w:ascii="Garamond" w:cs="Garamond" w:eastAsia="Garamond" w:hAnsi="Garamond"/>
                <w:b w:val="1"/>
                <w:i w:val="1"/>
                <w:smallCaps w:val="1"/>
                <w:color w:val="000000"/>
                <w:sz w:val="24"/>
                <w:szCs w:val="24"/>
                <w:rtl w:val="0"/>
              </w:rPr>
              <w:t xml:space="preserve">.</w:t>
            </w:r>
          </w:p>
          <w:p w:rsidR="00000000" w:rsidDel="00000000" w:rsidP="00000000" w:rsidRDefault="00000000" w:rsidRPr="00000000" w14:paraId="00000033">
            <w:pPr>
              <w:spacing w:after="0" w:line="240" w:lineRule="auto"/>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color w:val="000000"/>
                <w:sz w:val="22"/>
                <w:szCs w:val="22"/>
                <w:rtl w:val="0"/>
              </w:rPr>
              <w:t xml:space="preserve">Nel caso specifico: Organismi di formazione accreditati presso la regione Veneto per l’ambito formazione iniziale</w:t>
            </w:r>
            <w:r w:rsidDel="00000000" w:rsidR="00000000" w:rsidRPr="00000000">
              <w:rPr>
                <w:rFonts w:ascii="Garamond" w:cs="Garamond" w:eastAsia="Garamond" w:hAnsi="Garamond"/>
                <w:i w:val="1"/>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34">
      <w:pPr>
        <w:spacing w:after="0" w:before="240" w:line="360" w:lineRule="auto"/>
        <w:jc w:val="both"/>
        <w:rPr>
          <w:rFonts w:ascii="Garamond" w:cs="Garamond" w:eastAsia="Garamond" w:hAnsi="Garamond"/>
          <w:b w:val="1"/>
          <w:smallCaps w:val="1"/>
          <w:color w:val="ffffff"/>
          <w:sz w:val="24"/>
          <w:szCs w:val="24"/>
        </w:rPr>
      </w:pPr>
      <w:r w:rsidDel="00000000" w:rsidR="00000000" w:rsidRPr="00000000">
        <w:rPr>
          <w:rFonts w:ascii="Garamond" w:cs="Garamond" w:eastAsia="Garamond" w:hAnsi="Garamond"/>
          <w:b w:val="1"/>
          <w:smallCaps w:val="1"/>
          <w:color w:val="ffffff"/>
          <w:sz w:val="24"/>
          <w:szCs w:val="24"/>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Garamond" w:cs="Garamond" w:eastAsia="Garamond" w:hAnsi="Garamond"/>
          <w:b w:val="1"/>
          <w:sz w:val="24"/>
          <w:szCs w:val="24"/>
          <w:rtl w:val="0"/>
        </w:rPr>
        <w:t xml:space="preserve">3</w:t>
      </w:r>
      <w:r w:rsidDel="00000000" w:rsidR="00000000" w:rsidRPr="00000000">
        <w:rPr>
          <w:rFonts w:ascii="Times New Roman" w:cs="Times New Roman" w:eastAsia="Times New Roman" w:hAnsi="Times New Roman"/>
          <w:b w:val="1"/>
          <w:rtl w:val="0"/>
        </w:rPr>
        <w:t xml:space="preserve">. Soggetti del trattamento</w:t>
      </w:r>
    </w:p>
    <w:p w:rsidR="00000000" w:rsidDel="00000000" w:rsidP="00000000" w:rsidRDefault="00000000" w:rsidRPr="00000000" w14:paraId="00000036">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Giunta Regionale del Veneto, con sede in: Venezia, Palazzo Balbi - Dorsoduro 3901 è il Titolare del trattamento</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dei dati personali forniti dai soggetti coinvolti e/o interessati a vario titolo alle iniziative finanziate nell’ambito del Piano Nazionale di Ripresa e Resilienza.</w:t>
      </w:r>
    </w:p>
    <w:p w:rsidR="00000000" w:rsidDel="00000000" w:rsidP="00000000" w:rsidRDefault="00000000" w:rsidRPr="00000000" w14:paraId="00000037">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 DGR n. 596 del 8 maggio 2021, Delegato al trattamento è il Dirigente della Direzione Formazione e Istruzione, dott. Massimo Marzano Bernardi  (Palazzo Grandi Stazioni - Fondamenta Santa Lucia, Cannaregio, 23 - 30121 Venezia (VE) -  Tel. 041/2795013-5019-5031-5094-5325 – Fax 041/2795085 e-mail: </w:t>
      </w:r>
      <w:hyperlink r:id="rId10">
        <w:r w:rsidDel="00000000" w:rsidR="00000000" w:rsidRPr="00000000">
          <w:rPr>
            <w:rFonts w:ascii="Times New Roman" w:cs="Times New Roman" w:eastAsia="Times New Roman" w:hAnsi="Times New Roman"/>
            <w:rtl w:val="0"/>
          </w:rPr>
          <w:t xml:space="preserve">formazioneistruzione@regione.veneto.it</w:t>
        </w:r>
      </w:hyperlink>
      <w:r w:rsidDel="00000000" w:rsidR="00000000" w:rsidRPr="00000000">
        <w:rPr>
          <w:rFonts w:ascii="Times New Roman" w:cs="Times New Roman" w:eastAsia="Times New Roman" w:hAnsi="Times New Roman"/>
          <w:rtl w:val="0"/>
        </w:rPr>
        <w:t xml:space="preserve"> , PEC: </w:t>
      </w:r>
      <w:hyperlink r:id="rId11">
        <w:r w:rsidDel="00000000" w:rsidR="00000000" w:rsidRPr="00000000">
          <w:rPr>
            <w:rFonts w:ascii="Times New Roman" w:cs="Times New Roman" w:eastAsia="Times New Roman" w:hAnsi="Times New Roman"/>
            <w:rtl w:val="0"/>
          </w:rPr>
          <w:t xml:space="preserve">formazioneistruzione@pec.regione.veneto.it</w:t>
        </w:r>
      </w:hyperlink>
      <w:r w:rsidDel="00000000" w:rsidR="00000000" w:rsidRPr="00000000">
        <w:rPr>
          <w:rFonts w:ascii="Times New Roman" w:cs="Times New Roman" w:eastAsia="Times New Roman" w:hAnsi="Times New Roman"/>
          <w:rtl w:val="0"/>
        </w:rPr>
        <w:t xml:space="preserve"> pagina istituzionale: https://www.regione.veneto.it/privacy</w:t>
      </w:r>
    </w:p>
    <w:p w:rsidR="00000000" w:rsidDel="00000000" w:rsidP="00000000" w:rsidRDefault="00000000" w:rsidRPr="00000000" w14:paraId="00000038">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rsidR="00000000" w:rsidDel="00000000" w:rsidP="00000000" w:rsidRDefault="00000000" w:rsidRPr="00000000" w14:paraId="00000039">
      <w:pPr>
        <w:spacing w:after="0" w:before="240" w:line="360"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Modalità del trattamento ed ambito di diffusione dei dati trasmessi</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tbl>
      <w:tblPr>
        <w:tblStyle w:val="Table3"/>
        <w:tblW w:w="102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6"/>
        <w:tblGridChange w:id="0">
          <w:tblGrid>
            <w:gridCol w:w="10206"/>
          </w:tblGrid>
        </w:tblGridChange>
      </w:tblGrid>
      <w:tr>
        <w:trPr>
          <w:cantSplit w:val="0"/>
          <w:trHeight w:val="7580"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3D">
            <w:pPr>
              <w:spacing w:line="276" w:lineRule="auto"/>
              <w:ind w:left="220" w:right="320" w:firstLine="0"/>
              <w:jc w:val="center"/>
              <w:rPr>
                <w:rFonts w:ascii="Garamond" w:cs="Garamond" w:eastAsia="Garamond" w:hAnsi="Garamond"/>
                <w:b w:val="1"/>
                <w:i w:val="1"/>
                <w:smallCaps w:val="1"/>
                <w:color w:val="000000"/>
              </w:rPr>
            </w:pPr>
            <w:r w:rsidDel="00000000" w:rsidR="00000000" w:rsidRPr="00000000">
              <w:rPr>
                <w:rFonts w:ascii="Garamond" w:cs="Garamond" w:eastAsia="Garamond" w:hAnsi="Garamond"/>
                <w:b w:val="1"/>
                <w:smallCaps w:val="1"/>
                <w:sz w:val="24"/>
                <w:szCs w:val="24"/>
                <w:rtl w:val="0"/>
              </w:rPr>
              <w:t xml:space="preserve"> </w:t>
            </w:r>
            <w:r w:rsidDel="00000000" w:rsidR="00000000" w:rsidRPr="00000000">
              <w:rPr>
                <w:rFonts w:ascii="Garamond" w:cs="Garamond" w:eastAsia="Garamond" w:hAnsi="Garamond"/>
                <w:b w:val="1"/>
                <w:i w:val="1"/>
                <w:smallCaps w:val="1"/>
                <w:color w:val="000000"/>
                <w:rtl w:val="0"/>
              </w:rPr>
              <w:t xml:space="preserve">Regolamento (UE) 2021/241</w:t>
            </w:r>
          </w:p>
          <w:p w:rsidR="00000000" w:rsidDel="00000000" w:rsidP="00000000" w:rsidRDefault="00000000" w:rsidRPr="00000000" w14:paraId="0000003E">
            <w:pPr>
              <w:spacing w:after="240" w:before="240" w:line="276" w:lineRule="auto"/>
              <w:ind w:right="320"/>
              <w:jc w:val="center"/>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Art. 22 “Tutela degli interessi finanziari dell'Unione”</w:t>
            </w:r>
          </w:p>
          <w:p w:rsidR="00000000" w:rsidDel="00000000" w:rsidP="00000000" w:rsidRDefault="00000000" w:rsidRPr="00000000" w14:paraId="0000003F">
            <w:pPr>
              <w:spacing w:after="120" w:before="120" w:line="276" w:lineRule="auto"/>
              <w:ind w:right="320"/>
              <w:jc w:val="both"/>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Paragrafo 2) lett d)</w:t>
            </w:r>
          </w:p>
          <w:p w:rsidR="00000000" w:rsidDel="00000000" w:rsidP="00000000" w:rsidRDefault="00000000" w:rsidRPr="00000000" w14:paraId="00000040">
            <w:pPr>
              <w:spacing w:after="120" w:before="120" w:line="276" w:lineRule="auto"/>
              <w:ind w:left="220" w:right="320" w:firstLine="0"/>
              <w:jc w:val="both"/>
              <w:rPr>
                <w:rFonts w:ascii="Garamond" w:cs="Garamond" w:eastAsia="Garamond" w:hAnsi="Garamond"/>
                <w:b w:val="1"/>
                <w:i w:val="1"/>
                <w:smallCaps w:val="1"/>
                <w:color w:val="000000"/>
                <w:sz w:val="21"/>
                <w:szCs w:val="21"/>
              </w:rPr>
            </w:pPr>
            <w:r w:rsidDel="00000000" w:rsidR="00000000" w:rsidRPr="00000000">
              <w:rPr>
                <w:rFonts w:ascii="Garamond" w:cs="Garamond" w:eastAsia="Garamond" w:hAnsi="Garamond"/>
                <w:b w:val="1"/>
                <w:i w:val="1"/>
                <w:smallCaps w:val="1"/>
                <w:color w:val="000000"/>
                <w:sz w:val="21"/>
                <w:szCs w:val="21"/>
                <w:rtl w:val="0"/>
              </w:rPr>
              <w:t xml:space="preserve">“</w:t>
            </w:r>
            <w:r w:rsidDel="00000000" w:rsidR="00000000" w:rsidRPr="00000000">
              <w:rPr>
                <w:rFonts w:ascii="Garamond" w:cs="Garamond" w:eastAsia="Garamond" w:hAnsi="Garamond"/>
                <w:i w:val="1"/>
                <w:color w:val="000000"/>
                <w:sz w:val="24"/>
                <w:szCs w:val="24"/>
                <w:rtl w:val="0"/>
              </w:rPr>
              <w:t xml:space="preserve">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r w:rsidDel="00000000" w:rsidR="00000000" w:rsidRPr="00000000">
              <w:rPr>
                <w:rtl w:val="0"/>
              </w:rPr>
            </w:r>
          </w:p>
          <w:p w:rsidR="00000000" w:rsidDel="00000000" w:rsidP="00000000" w:rsidRDefault="00000000" w:rsidRPr="00000000" w14:paraId="00000041">
            <w:pPr>
              <w:spacing w:after="0" w:line="240" w:lineRule="auto"/>
              <w:ind w:left="1133" w:hanging="425"/>
              <w:jc w:val="both"/>
              <w:rPr>
                <w:rFonts w:ascii="Garamond" w:cs="Garamond" w:eastAsia="Garamond" w:hAnsi="Garamond"/>
                <w:i w:val="1"/>
                <w:color w:val="000000"/>
                <w:sz w:val="24"/>
                <w:szCs w:val="24"/>
              </w:rPr>
            </w:pPr>
            <w:r w:rsidDel="00000000" w:rsidR="00000000" w:rsidRPr="00000000">
              <w:rPr>
                <w:i w:val="1"/>
                <w:color w:val="000000"/>
                <w:rtl w:val="0"/>
              </w:rPr>
              <w:t xml:space="preserve">i)   </w:t>
            </w:r>
            <w:r w:rsidDel="00000000" w:rsidR="00000000" w:rsidRPr="00000000">
              <w:rPr>
                <w:rFonts w:ascii="Garamond" w:cs="Garamond" w:eastAsia="Garamond" w:hAnsi="Garamond"/>
                <w:i w:val="1"/>
                <w:color w:val="000000"/>
                <w:sz w:val="24"/>
                <w:szCs w:val="24"/>
                <w:rtl w:val="0"/>
              </w:rPr>
              <w:t xml:space="preserve">   il nome del destinatario finale dei fondi;</w:t>
            </w:r>
          </w:p>
          <w:p w:rsidR="00000000" w:rsidDel="00000000" w:rsidP="00000000" w:rsidRDefault="00000000" w:rsidRPr="00000000" w14:paraId="00000042">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ii)     il nome dell'appaltatore e del subappaltatore, ove il destinatario finale dei fondi sia un'amministrazione aggiudicatrice ai sensi delle disposizioni nazionali o dell'Unione in materia di appalti pubblici;</w:t>
            </w:r>
          </w:p>
          <w:p w:rsidR="00000000" w:rsidDel="00000000" w:rsidP="00000000" w:rsidRDefault="00000000" w:rsidRPr="00000000" w14:paraId="00000043">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iii)   il/i nome/i, il/i cognome/i e la data di nascita del/dei titolare/i effettivo/i del destinatario dei fondi o appaltatore, ai sensi dell'articolo 3, punto 6, della direttiva (UE) 2015/849 del Parlamento europeo e del Consiglio;</w:t>
            </w:r>
          </w:p>
          <w:p w:rsidR="00000000" w:rsidDel="00000000" w:rsidP="00000000" w:rsidRDefault="00000000" w:rsidRPr="00000000" w14:paraId="00000044">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iv)</w:t>
              <w:tab/>
              <w:t xml:space="preserve">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rsidR="00000000" w:rsidDel="00000000" w:rsidP="00000000" w:rsidRDefault="00000000" w:rsidRPr="00000000" w14:paraId="00000045">
            <w:pPr>
              <w:spacing w:after="120" w:before="120" w:line="276" w:lineRule="auto"/>
              <w:ind w:right="320"/>
              <w:jc w:val="both"/>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Paragrafo 3)</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256" w:lineRule="auto"/>
              <w:ind w:left="340" w:firstLine="0"/>
              <w:jc w:val="both"/>
              <w:rPr>
                <w:rFonts w:ascii="Garamond" w:cs="Garamond" w:eastAsia="Garamond" w:hAnsi="Garamond"/>
                <w:color w:val="ffffff"/>
                <w:sz w:val="24"/>
                <w:szCs w:val="24"/>
              </w:rPr>
            </w:pPr>
            <w:r w:rsidDel="00000000" w:rsidR="00000000" w:rsidRPr="00000000">
              <w:rPr>
                <w:rFonts w:ascii="Garamond" w:cs="Garamond" w:eastAsia="Garamond" w:hAnsi="Garamond"/>
                <w:i w:val="1"/>
                <w:color w:val="000000"/>
                <w:sz w:val="24"/>
                <w:szCs w:val="24"/>
                <w:rtl w:val="0"/>
              </w:rPr>
              <w:t xml:space="preserve">“I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sidDel="00000000" w:rsidR="00000000" w:rsidRPr="00000000">
              <w:rPr>
                <w:rtl w:val="0"/>
              </w:rPr>
            </w:r>
          </w:p>
        </w:tc>
      </w:tr>
    </w:tbl>
    <w:p w:rsidR="00000000" w:rsidDel="00000000" w:rsidP="00000000" w:rsidRDefault="00000000" w:rsidRPr="00000000" w14:paraId="00000047">
      <w:pPr>
        <w:spacing w:after="240" w:before="24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 </w:t>
      </w:r>
    </w:p>
    <w:p w:rsidR="00000000" w:rsidDel="00000000" w:rsidP="00000000" w:rsidRDefault="00000000" w:rsidRPr="00000000" w14:paraId="00000048">
      <w:pPr>
        <w:spacing w:after="240" w:before="24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rtl w:val="0"/>
        </w:rPr>
        <w:t xml:space="preserve">5. Base giuridica del trattamento</w:t>
      </w:r>
      <w:r w:rsidDel="00000000" w:rsidR="00000000" w:rsidRPr="00000000">
        <w:rPr>
          <w:rtl w:val="0"/>
        </w:rPr>
      </w:r>
    </w:p>
    <w:p w:rsidR="00000000" w:rsidDel="00000000" w:rsidP="00000000" w:rsidRDefault="00000000" w:rsidRPr="00000000" w14:paraId="0000004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liceità del trattamento dei dati personali trova fondamento </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before="24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sensi dell’articolo 6, comma 1, lettera c) del GDPR, nell’adempimento di un obbligo legale al quale è soggetta l’Amministrazione (es. in fase di gestione dell’attività istruttoria o in fase di comunicazione dei dati in adempimento ai generali obblighi di trasparenza); </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24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rsidR="00000000" w:rsidDel="00000000" w:rsidP="00000000" w:rsidRDefault="00000000" w:rsidRPr="00000000" w14:paraId="0000004D">
      <w:pPr>
        <w:spacing w:after="0" w:before="240" w:line="276" w:lineRule="auto"/>
        <w:jc w:val="center"/>
        <w:rPr>
          <w:rFonts w:ascii="Garamond" w:cs="Garamond" w:eastAsia="Garamond" w:hAnsi="Garamond"/>
          <w:b w:val="1"/>
          <w:smallCaps w:val="1"/>
          <w:sz w:val="24"/>
          <w:szCs w:val="24"/>
        </w:rPr>
      </w:pPr>
      <w:r w:rsidDel="00000000" w:rsidR="00000000" w:rsidRPr="00000000">
        <w:rPr>
          <w:rtl w:val="0"/>
        </w:rPr>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Inoltre deve considerarsi il D. Lgs 196/2003 e s.m.i., art. 2-sexies - Trattamento di categorie particolari di dati personali necessario per motivi di interesse pubblico rilevante:</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before="240" w:line="276"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si considera rilevante l’interesse pubblico relativo a trattamenti effettuati da soggetti che svolgono compiti di interesse pubblico o connessi all’esercizio di pubblici poteri nelle seguenti materie: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line="276"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concessione, liquidazione, modifica e revoca di benefici economici, agevolazioni, elargizioni, altri emolumenti e abilitazioni.</w:t>
      </w:r>
    </w:p>
    <w:p w:rsidR="00000000" w:rsidDel="00000000" w:rsidP="00000000" w:rsidRDefault="00000000" w:rsidRPr="00000000" w14:paraId="00000052">
      <w:pPr>
        <w:spacing w:after="120" w:before="12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rtl w:val="0"/>
        </w:rPr>
        <w:t xml:space="preserve">Base giuridica per la pubblicazione e diffusione web</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illustrano di seguito alcuni obblighi di pubblicazione disciplinati dal d.lgs. 33/2013, tenendo conto delle principali modifiche e integrazioni introdotte dal d.lgs. 97/2016.</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dell’art 26 del D.L.</w:t>
      </w:r>
      <w:hyperlink r:id="rId12">
        <w:r w:rsidDel="00000000" w:rsidR="00000000" w:rsidRPr="00000000">
          <w:rPr>
            <w:rFonts w:ascii="Times New Roman" w:cs="Times New Roman" w:eastAsia="Times New Roman" w:hAnsi="Times New Roman"/>
            <w:rtl w:val="0"/>
          </w:rPr>
          <w:t xml:space="preserve"> 14 marzo 2013, n. 33</w:t>
        </w:r>
      </w:hyperlink>
      <w:r w:rsidDel="00000000" w:rsidR="00000000" w:rsidRPr="00000000">
        <w:rPr>
          <w:rFonts w:ascii="Times New Roman" w:cs="Times New Roman" w:eastAsia="Times New Roman" w:hAnsi="Times New Roman"/>
          <w:rtl w:val="0"/>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 comma 3 del medesimo articolo, la pubblicazione costituisce condizione legale di efficacia dei provvedimenti e quindi deve avvenire tempestivamente e, comunque, prima della liquidazione delle somme oggetto del provvedimento.</w:t>
      </w:r>
    </w:p>
    <w:p w:rsidR="00000000" w:rsidDel="00000000" w:rsidP="00000000" w:rsidRDefault="00000000" w:rsidRPr="00000000" w14:paraId="00000056">
      <w:pPr>
        <w:spacing w:after="120" w:before="120" w:line="276" w:lineRule="auto"/>
        <w:jc w:val="both"/>
        <w:rPr>
          <w:rFonts w:ascii="Garamond" w:cs="Garamond" w:eastAsia="Garamond" w:hAnsi="Garamond"/>
          <w:b w:val="1"/>
          <w:smallCaps w:val="1"/>
        </w:rPr>
      </w:pPr>
      <w:r w:rsidDel="00000000" w:rsidR="00000000" w:rsidRPr="00000000">
        <w:rPr>
          <w:rFonts w:ascii="Garamond" w:cs="Garamond" w:eastAsia="Garamond" w:hAnsi="Garamond"/>
          <w:b w:val="1"/>
          <w:smallCaps w:val="1"/>
          <w:rtl w:val="0"/>
        </w:rPr>
        <w:t xml:space="preserve"> </w:t>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
        <w:gridCol w:w="9703"/>
        <w:tblGridChange w:id="0">
          <w:tblGrid>
            <w:gridCol w:w="220"/>
            <w:gridCol w:w="9703"/>
          </w:tblGrid>
        </w:tblGridChange>
      </w:tblGrid>
      <w:tr>
        <w:trPr>
          <w:cantSplit w:val="0"/>
          <w:trHeight w:val="5627"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57">
            <w:pPr>
              <w:spacing w:after="0" w:line="24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58">
            <w:pPr>
              <w:spacing w:line="276" w:lineRule="auto"/>
              <w:ind w:right="285"/>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Normativa di riferimento</w:t>
            </w:r>
          </w:p>
          <w:p w:rsidR="00000000" w:rsidDel="00000000" w:rsidP="00000000" w:rsidRDefault="00000000" w:rsidRPr="00000000" w14:paraId="00000059">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D.L.</w:t>
            </w:r>
            <w:hyperlink r:id="rId13">
              <w:r w:rsidDel="00000000" w:rsidR="00000000" w:rsidRPr="00000000">
                <w:rPr>
                  <w:rFonts w:ascii="Garamond" w:cs="Garamond" w:eastAsia="Garamond" w:hAnsi="Garamond"/>
                  <w:i w:val="1"/>
                  <w:color w:val="000000"/>
                  <w:sz w:val="24"/>
                  <w:szCs w:val="24"/>
                  <w:rtl w:val="0"/>
                </w:rPr>
                <w:t xml:space="preserve"> 14 marzo 2013, n. 33</w:t>
              </w:r>
            </w:hyperlink>
            <w:r w:rsidDel="00000000" w:rsidR="00000000" w:rsidRPr="00000000">
              <w:rPr>
                <w:rFonts w:ascii="Garamond" w:cs="Garamond" w:eastAsia="Garamond" w:hAnsi="Garamond"/>
                <w:i w:val="1"/>
                <w:color w:val="000000"/>
                <w:sz w:val="24"/>
                <w:szCs w:val="24"/>
                <w:rtl w:val="0"/>
              </w:rPr>
              <w:t xml:space="preserve">, art. 26 Obblighi di pubblicazione degli atti di concessione di sovvenzioni, contributi, sussidi e attribuzione di vantaggi economici a persone fisiche ed enti pubblici e privati (come modificato dall’art. 23 del D.lgs. n. 97/2016)</w:t>
            </w:r>
          </w:p>
          <w:p w:rsidR="00000000" w:rsidDel="00000000" w:rsidP="00000000" w:rsidRDefault="00000000" w:rsidRPr="00000000" w14:paraId="0000005A">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w:t>
            </w:r>
          </w:p>
          <w:p w:rsidR="00000000" w:rsidDel="00000000" w:rsidP="00000000" w:rsidRDefault="00000000" w:rsidRPr="00000000" w14:paraId="0000005B">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rsidR="00000000" w:rsidDel="00000000" w:rsidP="00000000" w:rsidRDefault="00000000" w:rsidRPr="00000000" w14:paraId="0000005C">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w:t>
            </w:r>
          </w:p>
          <w:p w:rsidR="00000000" w:rsidDel="00000000" w:rsidP="00000000" w:rsidRDefault="00000000" w:rsidRPr="00000000" w14:paraId="0000005D">
            <w:pPr>
              <w:spacing w:after="0" w:line="24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i w:val="1"/>
                <w:color w:val="000000"/>
                <w:sz w:val="24"/>
                <w:szCs w:val="24"/>
                <w:rtl w:val="0"/>
              </w:rPr>
              <w:t xml:space="preserve">4. 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sidDel="00000000" w:rsidR="00000000" w:rsidRPr="00000000">
              <w:rPr>
                <w:rFonts w:ascii="Garamond" w:cs="Garamond" w:eastAsia="Garamond" w:hAnsi="Garamond"/>
                <w:color w:val="000000"/>
                <w:sz w:val="24"/>
                <w:szCs w:val="24"/>
                <w:rtl w:val="0"/>
              </w:rPr>
              <w:t xml:space="preserve">.</w:t>
            </w:r>
          </w:p>
        </w:tc>
      </w:tr>
    </w:tbl>
    <w:p w:rsidR="00000000" w:rsidDel="00000000" w:rsidP="00000000" w:rsidRDefault="00000000" w:rsidRPr="00000000" w14:paraId="0000005E">
      <w:pPr>
        <w:spacing w:after="120" w:before="120" w:line="276" w:lineRule="auto"/>
        <w:jc w:val="both"/>
        <w:rPr>
          <w:rFonts w:ascii="Garamond" w:cs="Garamond" w:eastAsia="Garamond" w:hAnsi="Garamond"/>
          <w:b w:val="1"/>
          <w:smallCaps w:val="1"/>
        </w:rPr>
      </w:pPr>
      <w:r w:rsidDel="00000000" w:rsidR="00000000" w:rsidRPr="00000000">
        <w:rPr>
          <w:rFonts w:ascii="Garamond" w:cs="Garamond" w:eastAsia="Garamond" w:hAnsi="Garamond"/>
          <w:b w:val="1"/>
          <w:smallCaps w:val="1"/>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 Pubblicazione di dati personali ulteriori</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 procedendo alla indicazione in forma anonima dei dati personali eventualmente presenti.</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 Limiti al “riutilizzo” dei documenti pubblicati</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ottemperanza a quanto disposto dal Garante per la protezione dei dati personali, i soggetti pubblici inseriscono nella sezione "Amministrazione trasparente" un alert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p w:rsidR="00000000" w:rsidDel="00000000" w:rsidP="00000000" w:rsidRDefault="00000000" w:rsidRPr="00000000" w14:paraId="00000063">
      <w:pPr>
        <w:spacing w:after="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Tempo di conservazione dei dati</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Luogo del Trattamento</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vengono trattati ed archiviati presso la sede del CED della Direzione ICT e Agenda Digitale sita in Centro Vega - Palazzo Lybra, Via Pacinotti 4 - 30175 Marghera - Tel. 041 279.2202-2204 - e-mail: ictagendadigitale@regione.veneto.it - PEC: ictagendadigitale@pec.regione.veneto.it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Specifiche misure di sicurezza sono osservate per prevenire la perdita dei dati, usi illeciti o non corretti e accessi non autorizzati.</w:t>
      </w:r>
    </w:p>
    <w:p w:rsidR="00000000" w:rsidDel="00000000" w:rsidP="00000000" w:rsidRDefault="00000000" w:rsidRPr="00000000" w14:paraId="00000068">
      <w:pPr>
        <w:spacing w:after="120" w:before="240" w:line="276" w:lineRule="auto"/>
        <w:jc w:val="both"/>
        <w:rPr>
          <w:rFonts w:ascii="Times New Roman" w:cs="Times New Roman" w:eastAsia="Times New Roman" w:hAnsi="Times New Roman"/>
          <w:b w:val="1"/>
          <w:smallCaps w:val="1"/>
          <w:highlight w:val="white"/>
        </w:rPr>
      </w:pPr>
      <w:r w:rsidDel="00000000" w:rsidR="00000000" w:rsidRPr="00000000">
        <w:rPr>
          <w:rFonts w:ascii="Times New Roman" w:cs="Times New Roman" w:eastAsia="Times New Roman" w:hAnsi="Times New Roman"/>
          <w:b w:val="1"/>
          <w:smallCaps w:val="1"/>
          <w:rtl w:val="0"/>
        </w:rPr>
        <w:t xml:space="preserve">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Dichiarazione di presa visione dell’informativa sul conferimento e trattamento dei dati personali</w:t>
      </w:r>
    </w:p>
    <w:p w:rsidR="00000000" w:rsidDel="00000000" w:rsidP="00000000" w:rsidRDefault="00000000" w:rsidRPr="00000000" w14:paraId="0000006A">
      <w:pPr>
        <w:spacing w:after="120" w:before="240" w:line="276" w:lineRule="auto"/>
        <w:jc w:val="both"/>
        <w:rPr>
          <w:rFonts w:ascii="Times New Roman" w:cs="Times New Roman" w:eastAsia="Times New Roman" w:hAnsi="Times New Roman"/>
          <w:b w:val="1"/>
          <w:smallCaps w:val="1"/>
          <w:highlight w:val="white"/>
        </w:rPr>
      </w:pPr>
      <w:r w:rsidDel="00000000" w:rsidR="00000000" w:rsidRPr="00000000">
        <w:rPr>
          <w:rFonts w:ascii="Times New Roman" w:cs="Times New Roman" w:eastAsia="Times New Roman" w:hAnsi="Times New Roman"/>
          <w:b w:val="1"/>
          <w:smallCaps w:val="1"/>
          <w:highlight w:val="white"/>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Il sottoscritto __________________________________________________________ in qualità di _________________________________________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40" w:before="240" w:line="276"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DICHIARA</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 essere stato adeguatamente informato riguardo al trattamento dei propri dati personali per i fini indicati nella stessa.</w:t>
      </w:r>
    </w:p>
    <w:p w:rsidR="00000000" w:rsidDel="00000000" w:rsidP="00000000" w:rsidRDefault="00000000" w:rsidRPr="00000000" w14:paraId="0000006E">
      <w:pP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highlight w:val="white"/>
        </w:rPr>
      </w:pPr>
      <w:bookmarkStart w:colFirst="0" w:colLast="0" w:name="_30j0zll" w:id="2"/>
      <w:bookmarkEnd w:id="2"/>
      <w:r w:rsidDel="00000000" w:rsidR="00000000" w:rsidRPr="00000000">
        <w:rPr>
          <w:rFonts w:ascii="Times New Roman" w:cs="Times New Roman" w:eastAsia="Times New Roman" w:hAnsi="Times New Roman"/>
          <w:highlight w:val="white"/>
          <w:rtl w:val="0"/>
        </w:rPr>
        <w:t xml:space="preserve">Firma del dichiarante </w:t>
      </w:r>
      <w:r w:rsidDel="00000000" w:rsidR="00000000" w:rsidRPr="00000000">
        <w:rPr>
          <w:rFonts w:ascii="Times New Roman" w:cs="Times New Roman" w:eastAsia="Times New Roman" w:hAnsi="Times New Roman"/>
          <w:b w:val="1"/>
          <w:smallCaps w:val="1"/>
          <w:highlight w:val="white"/>
          <w:rtl w:val="0"/>
        </w:rPr>
        <w:t xml:space="preserve">____________________</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0">
      <w:pPr>
        <w:spacing w:line="276" w:lineRule="auto"/>
        <w:ind w:right="285"/>
        <w:jc w:val="both"/>
        <w:rPr>
          <w:color w:val="222222"/>
          <w:highlight w:val="white"/>
        </w:rPr>
      </w:pP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line="276" w:lineRule="auto"/>
        <w:ind w:left="720" w:right="285" w:hanging="360"/>
        <w:jc w:val="both"/>
        <w:rPr>
          <w:color w:val="222222"/>
          <w:highlight w:val="white"/>
        </w:rPr>
      </w:pPr>
      <w:bookmarkStart w:colFirst="0" w:colLast="0" w:name="_1fob9te" w:id="3"/>
      <w:bookmarkEnd w:id="3"/>
      <w:r w:rsidDel="00000000" w:rsidR="00000000" w:rsidRPr="00000000">
        <w:rPr>
          <w:rFonts w:ascii="Times New Roman" w:cs="Times New Roman" w:eastAsia="Times New Roman" w:hAnsi="Times New Roman"/>
          <w:color w:val="222222"/>
          <w:highlight w:val="white"/>
          <w:rtl w:val="0"/>
        </w:rPr>
        <w:t xml:space="preserve">Documento sottoscritto digitalmente nei formati previsti dal Codice dell'Amministrazione Digitale</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ind w:left="720" w:right="28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spacing w:line="276" w:lineRule="auto"/>
        <w:rPr>
          <w:rFonts w:ascii="Times New Roman" w:cs="Times New Roman" w:eastAsia="Times New Roman" w:hAnsi="Times New Roman"/>
          <w:smallCaps w:val="1"/>
        </w:rPr>
      </w:pPr>
      <w:bookmarkStart w:colFirst="0" w:colLast="0" w:name="_3znysh7" w:id="4"/>
      <w:bookmarkEnd w:id="4"/>
      <w:r w:rsidDel="00000000" w:rsidR="00000000" w:rsidRPr="00000000">
        <w:rPr>
          <w:rtl w:val="0"/>
        </w:rPr>
      </w:r>
    </w:p>
    <w:sectPr>
      <w:headerReference r:id="rId14" w:type="first"/>
      <w:headerReference r:id="rId15" w:type="even"/>
      <w:footerReference r:id="rId16" w:type="default"/>
      <w:footerReference r:id="rId17" w:type="first"/>
      <w:footerReference r:id="rId18" w:type="even"/>
      <w:pgSz w:h="16838" w:w="11906" w:orient="portrait"/>
      <w:pgMar w:bottom="567" w:top="680" w:left="1134" w:right="709" w:header="709"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hanging="2"/>
      <w:jc w:val="center"/>
      <w:rPr>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34"/>
          <w:szCs w:val="34"/>
          <w:vertAlign w:val="superscript"/>
          <w:rtl w:val="0"/>
        </w:rPr>
        <w:t xml:space="preserve"> </w:t>
      </w:r>
      <w:r w:rsidDel="00000000" w:rsidR="00000000" w:rsidRPr="00000000">
        <w:rPr>
          <w:rFonts w:ascii="Times New Roman" w:cs="Times New Roman" w:eastAsia="Times New Roman" w:hAnsi="Times New Roman"/>
          <w:sz w:val="16"/>
          <w:szCs w:val="16"/>
          <w:rtl w:val="0"/>
        </w:rPr>
        <w:t xml:space="preserve">Il Titolare del trattamento è "</w:t>
      </w:r>
      <w:r w:rsidDel="00000000" w:rsidR="00000000" w:rsidRPr="00000000">
        <w:rPr>
          <w:rFonts w:ascii="Times New Roman" w:cs="Times New Roman" w:eastAsia="Times New Roman" w:hAnsi="Times New Roman"/>
          <w:i w:val="1"/>
          <w:sz w:val="16"/>
          <w:szCs w:val="16"/>
          <w:rtl w:val="0"/>
        </w:rPr>
        <w:t xml:space="preserve">la persona fisica o giuridica, l'autorità pubblica, il servizio o altro organismo che, singolarmente o insieme ad altri, determina le </w:t>
      </w:r>
      <w:r w:rsidDel="00000000" w:rsidR="00000000" w:rsidRPr="00000000">
        <w:rPr>
          <w:rFonts w:ascii="Times New Roman" w:cs="Times New Roman" w:eastAsia="Times New Roman" w:hAnsi="Times New Roman"/>
          <w:sz w:val="16"/>
          <w:szCs w:val="16"/>
          <w:rtl w:val="0"/>
        </w:rPr>
        <w:t xml:space="preserve">finalità</w:t>
      </w:r>
      <w:r w:rsidDel="00000000" w:rsidR="00000000" w:rsidRPr="00000000">
        <w:rPr>
          <w:rFonts w:ascii="Times New Roman" w:cs="Times New Roman" w:eastAsia="Times New Roman" w:hAnsi="Times New Roman"/>
          <w:i w:val="1"/>
          <w:sz w:val="16"/>
          <w:szCs w:val="16"/>
          <w:rtl w:val="0"/>
        </w:rPr>
        <w:t xml:space="preserve"> e i </w:t>
      </w:r>
      <w:r w:rsidDel="00000000" w:rsidR="00000000" w:rsidRPr="00000000">
        <w:rPr>
          <w:rFonts w:ascii="Times New Roman" w:cs="Times New Roman" w:eastAsia="Times New Roman" w:hAnsi="Times New Roman"/>
          <w:sz w:val="16"/>
          <w:szCs w:val="16"/>
          <w:rtl w:val="0"/>
        </w:rPr>
        <w:t xml:space="preserve">mezzi</w:t>
      </w:r>
      <w:r w:rsidDel="00000000" w:rsidR="00000000" w:rsidRPr="00000000">
        <w:rPr>
          <w:rFonts w:ascii="Times New Roman" w:cs="Times New Roman" w:eastAsia="Times New Roman" w:hAnsi="Times New Roman"/>
          <w:i w:val="1"/>
          <w:sz w:val="16"/>
          <w:szCs w:val="16"/>
          <w:rtl w:val="0"/>
        </w:rPr>
        <w:t xml:space="preserve"> del trattamento di dati personali</w:t>
      </w:r>
      <w:r w:rsidDel="00000000" w:rsidR="00000000" w:rsidRPr="00000000">
        <w:rPr>
          <w:rFonts w:ascii="Times New Roman" w:cs="Times New Roman" w:eastAsia="Times New Roman" w:hAnsi="Times New Roman"/>
          <w:sz w:val="16"/>
          <w:szCs w:val="16"/>
          <w:rtl w:val="0"/>
        </w:rPr>
        <w:t xml:space="preserve">" (art. 4. par. 1, n. 7) Regolamento Generale sulla Protezione dei Dati (GDPR).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7">
    <w:pPr>
      <w:tabs>
        <w:tab w:val="center" w:leader="none" w:pos="4819"/>
        <w:tab w:val="right" w:leader="none" w:pos="9638"/>
      </w:tabs>
      <w:spacing w:after="0" w:line="240" w:lineRule="auto"/>
      <w:rPr/>
    </w:pPr>
    <w:r w:rsidDel="00000000" w:rsidR="00000000" w:rsidRPr="00000000">
      <w:rPr/>
      <w:drawing>
        <wp:inline distB="114300" distT="114300" distL="114300" distR="114300">
          <wp:extent cx="6389695" cy="850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89695"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ormazioneistruzione@pec.regione.veneto.it" TargetMode="External"/><Relationship Id="rId10" Type="http://schemas.openxmlformats.org/officeDocument/2006/relationships/hyperlink" Target="mailto:formazioneistruzione@regione.veneto.it" TargetMode="External"/><Relationship Id="rId13" Type="http://schemas.openxmlformats.org/officeDocument/2006/relationships/hyperlink" Target="https://www.bosettiegatti.eu/info/norme/statali/2013_0033.htm" TargetMode="External"/><Relationship Id="rId12" Type="http://schemas.openxmlformats.org/officeDocument/2006/relationships/hyperlink" Target="https://www.bosettiegatti.eu/info/norme/statali/2013_0033.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osettiegatti.eu/info/norme/statali/2015_0124.htm#07"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hyperlink" Target="https://www.bosettiegatti.eu/info/norme/statali/2012_0190.htm" TargetMode="External"/><Relationship Id="rId8" Type="http://schemas.openxmlformats.org/officeDocument/2006/relationships/hyperlink" Target="https://www.bosettiegatti.eu/info/norme/statali/2013_0033.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