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44B" w:rsidRDefault="0057044B">
      <w:pPr>
        <w:spacing w:line="276" w:lineRule="auto"/>
        <w:jc w:val="both"/>
        <w:rPr>
          <w:rFonts w:ascii="Times New Roman" w:eastAsia="Times New Roman" w:hAnsi="Times New Roman" w:cs="Times New Roman"/>
        </w:rPr>
      </w:pPr>
    </w:p>
    <w:p w:rsidR="0057044B" w:rsidRDefault="00406B49">
      <w:pPr>
        <w:keepNext/>
        <w:keepLines/>
        <w:pBdr>
          <w:top w:val="nil"/>
          <w:left w:val="nil"/>
          <w:bottom w:val="nil"/>
          <w:right w:val="nil"/>
          <w:between w:val="nil"/>
        </w:pBdr>
        <w:spacing w:before="240" w:after="0" w:line="276" w:lineRule="auto"/>
        <w:ind w:right="284"/>
        <w:jc w:val="both"/>
        <w:rPr>
          <w:rFonts w:ascii="Times New Roman" w:eastAsia="Times New Roman" w:hAnsi="Times New Roman" w:cs="Times New Roman"/>
          <w:b/>
          <w:color w:val="2F5496"/>
          <w:sz w:val="28"/>
          <w:szCs w:val="28"/>
        </w:rPr>
      </w:pPr>
      <w:bookmarkStart w:id="0" w:name="_heading=h.1xrdshw" w:colFirst="0" w:colLast="0"/>
      <w:bookmarkStart w:id="1" w:name="_heading=h.2wwbldi" w:colFirst="0" w:colLast="0"/>
      <w:bookmarkStart w:id="2" w:name="_GoBack"/>
      <w:bookmarkEnd w:id="0"/>
      <w:bookmarkEnd w:id="1"/>
      <w:bookmarkEnd w:id="2"/>
      <w:r>
        <w:rPr>
          <w:rFonts w:ascii="Times New Roman" w:eastAsia="Times New Roman" w:hAnsi="Times New Roman" w:cs="Times New Roman"/>
          <w:b/>
          <w:color w:val="2F5496"/>
          <w:sz w:val="28"/>
          <w:szCs w:val="28"/>
        </w:rPr>
        <w:t>Allegato B)  Informativa sul trattamento dati e pubblicazione</w:t>
      </w:r>
    </w:p>
    <w:p w:rsidR="0057044B" w:rsidRDefault="0057044B">
      <w:pPr>
        <w:spacing w:line="276" w:lineRule="auto"/>
        <w:jc w:val="both"/>
        <w:rPr>
          <w:rFonts w:ascii="Times New Roman" w:eastAsia="Times New Roman" w:hAnsi="Times New Roman" w:cs="Times New Roman"/>
          <w:b/>
          <w:smallCaps/>
        </w:rPr>
      </w:pPr>
    </w:p>
    <w:p w:rsidR="0057044B" w:rsidRDefault="00406B49">
      <w:pPr>
        <w:pBdr>
          <w:top w:val="nil"/>
          <w:left w:val="nil"/>
          <w:bottom w:val="nil"/>
          <w:right w:val="nil"/>
          <w:between w:val="nil"/>
        </w:pBdr>
        <w:spacing w:line="276" w:lineRule="auto"/>
        <w:ind w:right="285"/>
        <w:jc w:val="both"/>
        <w:rPr>
          <w:rFonts w:ascii="Times New Roman" w:eastAsia="Times New Roman" w:hAnsi="Times New Roman" w:cs="Times New Roman"/>
          <w:b/>
        </w:rPr>
      </w:pPr>
      <w:r>
        <w:rPr>
          <w:rFonts w:ascii="Times New Roman" w:eastAsia="Times New Roman" w:hAnsi="Times New Roman" w:cs="Times New Roman"/>
          <w:b/>
        </w:rPr>
        <w:t>1. Oggetto del Trattamento</w:t>
      </w:r>
    </w:p>
    <w:p w:rsidR="0057044B" w:rsidRDefault="00406B49">
      <w:pPr>
        <w:pBdr>
          <w:top w:val="nil"/>
          <w:left w:val="nil"/>
          <w:bottom w:val="nil"/>
          <w:right w:val="nil"/>
          <w:between w:val="nil"/>
        </w:pBdr>
        <w:spacing w:line="276" w:lineRule="auto"/>
        <w:ind w:right="285"/>
        <w:jc w:val="both"/>
        <w:rPr>
          <w:rFonts w:ascii="Times New Roman" w:eastAsia="Times New Roman" w:hAnsi="Times New Roman" w:cs="Times New Roman"/>
        </w:rPr>
      </w:pPr>
      <w:r>
        <w:rPr>
          <w:rFonts w:ascii="Times New Roman" w:eastAsia="Times New Roman" w:hAnsi="Times New Roman" w:cs="Times New Roman"/>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w:t>
      </w:r>
      <w:proofErr w:type="spellStart"/>
      <w:r>
        <w:rPr>
          <w:rFonts w:ascii="Times New Roman" w:eastAsia="Times New Roman" w:hAnsi="Times New Roman" w:cs="Times New Roman"/>
        </w:rPr>
        <w:t>ReGiS</w:t>
      </w:r>
      <w:proofErr w:type="spellEnd"/>
      <w:r>
        <w:rPr>
          <w:rFonts w:ascii="Times New Roman" w:eastAsia="Times New Roman" w:hAnsi="Times New Roman" w:cs="Times New Roman"/>
        </w:rPr>
        <w:t>, messo a disposizione dal Servizio centrale per il PNRR o di altri sistemi informativi locali adottati per lo scambio elettronico dei dati) e la pubblicazione degli elementi ritenuti non sensibili nei siti istituzionali e di consultazione aperta www……………. e www………...</w:t>
      </w:r>
    </w:p>
    <w:p w:rsidR="0057044B" w:rsidRDefault="00406B49">
      <w:pPr>
        <w:pBdr>
          <w:top w:val="nil"/>
          <w:left w:val="nil"/>
          <w:bottom w:val="nil"/>
          <w:right w:val="nil"/>
          <w:between w:val="nil"/>
        </w:pBdr>
        <w:spacing w:line="276" w:lineRule="auto"/>
        <w:ind w:right="285"/>
        <w:jc w:val="both"/>
        <w:rPr>
          <w:rFonts w:ascii="Times New Roman" w:eastAsia="Times New Roman" w:hAnsi="Times New Roman" w:cs="Times New Roman"/>
        </w:rPr>
      </w:pPr>
      <w:r>
        <w:rPr>
          <w:rFonts w:ascii="Times New Roman" w:eastAsia="Times New Roman" w:hAnsi="Times New Roman" w:cs="Times New Roman"/>
        </w:rPr>
        <w:t>Il trattamento dei dati personali avviene nel rispetto della dignità umana, dei diritti e delle libertà fondamentali della persona.</w:t>
      </w:r>
    </w:p>
    <w:tbl>
      <w:tblPr>
        <w:tblStyle w:val="affffb"/>
        <w:tblW w:w="100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65"/>
      </w:tblGrid>
      <w:tr w:rsidR="0057044B">
        <w:trPr>
          <w:trHeight w:val="5870"/>
        </w:trPr>
        <w:tc>
          <w:tcPr>
            <w:tcW w:w="10065" w:type="dxa"/>
            <w:tcBorders>
              <w:top w:val="nil"/>
              <w:left w:val="nil"/>
              <w:bottom w:val="nil"/>
              <w:right w:val="nil"/>
            </w:tcBorders>
            <w:shd w:val="clear" w:color="auto" w:fill="E7E6E6"/>
            <w:tcMar>
              <w:top w:w="100" w:type="dxa"/>
              <w:left w:w="100" w:type="dxa"/>
              <w:bottom w:w="100" w:type="dxa"/>
              <w:right w:w="100" w:type="dxa"/>
            </w:tcMar>
          </w:tcPr>
          <w:p w:rsidR="0057044B" w:rsidRDefault="00406B49">
            <w:pPr>
              <w:spacing w:line="276" w:lineRule="auto"/>
              <w:ind w:right="285"/>
              <w:jc w:val="both"/>
              <w:rPr>
                <w:rFonts w:ascii="Times New Roman" w:eastAsia="Times New Roman" w:hAnsi="Times New Roman" w:cs="Times New Roman"/>
                <w:i/>
                <w:color w:val="000000"/>
              </w:rPr>
            </w:pPr>
            <w:r>
              <w:rPr>
                <w:rFonts w:ascii="Times New Roman" w:eastAsia="Times New Roman" w:hAnsi="Times New Roman" w:cs="Times New Roman"/>
                <w:i/>
                <w:color w:val="000000"/>
              </w:rPr>
              <w:t>Normativa di riferimento</w:t>
            </w:r>
          </w:p>
          <w:p w:rsidR="0057044B" w:rsidRDefault="00406B49">
            <w:pPr>
              <w:spacing w:line="276" w:lineRule="auto"/>
              <w:ind w:right="285"/>
              <w:jc w:val="both"/>
              <w:rPr>
                <w:rFonts w:ascii="Times New Roman" w:eastAsia="Times New Roman" w:hAnsi="Times New Roman" w:cs="Times New Roman"/>
                <w:i/>
                <w:color w:val="000000"/>
                <w:sz w:val="22"/>
                <w:szCs w:val="22"/>
              </w:rPr>
            </w:pPr>
            <w:r>
              <w:rPr>
                <w:rFonts w:ascii="Times New Roman" w:eastAsia="Times New Roman" w:hAnsi="Times New Roman" w:cs="Times New Roman"/>
                <w:i/>
              </w:rPr>
              <w:t xml:space="preserve">▪      </w:t>
            </w:r>
            <w:r>
              <w:rPr>
                <w:rFonts w:ascii="Times New Roman" w:eastAsia="Times New Roman" w:hAnsi="Times New Roman" w:cs="Times New Roman"/>
                <w:i/>
                <w:sz w:val="22"/>
                <w:szCs w:val="22"/>
              </w:rPr>
              <w:t xml:space="preserve">  </w:t>
            </w:r>
            <w:r>
              <w:rPr>
                <w:rFonts w:ascii="Times New Roman" w:eastAsia="Times New Roman" w:hAnsi="Times New Roman" w:cs="Times New Roman"/>
                <w:i/>
                <w:color w:val="000000"/>
                <w:sz w:val="22"/>
                <w:szCs w:val="22"/>
              </w:rPr>
              <w:t>Disposizioni contenute nel del Regolamento (UE) 2021/241 (Dispositivo per la Ripresa e la Resilienza (RRF);</w:t>
            </w:r>
          </w:p>
          <w:p w:rsidR="0057044B" w:rsidRDefault="00406B49">
            <w:pPr>
              <w:spacing w:line="276" w:lineRule="auto"/>
              <w:ind w:right="285"/>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LEGGE 29 luglio 2021, n. 108 Conversione in legge, con modificazioni, del decreto-legge 31 maggio 2021, n. 77, recante “</w:t>
            </w:r>
            <w:proofErr w:type="spellStart"/>
            <w:r>
              <w:rPr>
                <w:rFonts w:ascii="Times New Roman" w:eastAsia="Times New Roman" w:hAnsi="Times New Roman" w:cs="Times New Roman"/>
                <w:i/>
                <w:color w:val="000000"/>
                <w:sz w:val="22"/>
                <w:szCs w:val="22"/>
              </w:rPr>
              <w:t>Governance</w:t>
            </w:r>
            <w:proofErr w:type="spellEnd"/>
            <w:r>
              <w:rPr>
                <w:rFonts w:ascii="Times New Roman" w:eastAsia="Times New Roman" w:hAnsi="Times New Roman" w:cs="Times New Roman"/>
                <w:i/>
                <w:color w:val="000000"/>
                <w:sz w:val="22"/>
                <w:szCs w:val="22"/>
              </w:rPr>
              <w:t xml:space="preserve"> del Piano nazionale di ripresa e resilienza e prime misure di rafforzamento delle strutture amministrative e di accelerazione e snellimento delle procedure”.</w:t>
            </w:r>
          </w:p>
          <w:p w:rsidR="0057044B" w:rsidRDefault="00406B49">
            <w:pPr>
              <w:spacing w:line="276" w:lineRule="auto"/>
              <w:ind w:right="285"/>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Codice della Privacy (d.lgs. 196/2003) coordinato e aggiornato, da ultimo, con le modifiche apportate dalla legge 27 dicembre 2019, n. 160, dal </w:t>
            </w:r>
            <w:proofErr w:type="spellStart"/>
            <w:r>
              <w:rPr>
                <w:rFonts w:ascii="Times New Roman" w:eastAsia="Times New Roman" w:hAnsi="Times New Roman" w:cs="Times New Roman"/>
                <w:i/>
                <w:color w:val="000000"/>
                <w:sz w:val="22"/>
                <w:szCs w:val="22"/>
              </w:rPr>
              <w:t>d.l.</w:t>
            </w:r>
            <w:proofErr w:type="spellEnd"/>
            <w:r>
              <w:rPr>
                <w:rFonts w:ascii="Times New Roman" w:eastAsia="Times New Roman" w:hAnsi="Times New Roman" w:cs="Times New Roman"/>
                <w:i/>
                <w:color w:val="000000"/>
                <w:sz w:val="22"/>
                <w:szCs w:val="22"/>
              </w:rPr>
              <w:t xml:space="preserve"> 14 giugno 2019, n. 53, dal D.M. 15 marzo 2019 e dal decreto di adeguamento </w:t>
            </w:r>
            <w:proofErr w:type="spellStart"/>
            <w:r>
              <w:rPr>
                <w:rFonts w:ascii="Times New Roman" w:eastAsia="Times New Roman" w:hAnsi="Times New Roman" w:cs="Times New Roman"/>
                <w:i/>
                <w:color w:val="000000"/>
                <w:sz w:val="22"/>
                <w:szCs w:val="22"/>
              </w:rPr>
              <w:t>d.l.</w:t>
            </w:r>
            <w:proofErr w:type="spellEnd"/>
            <w:r>
              <w:rPr>
                <w:rFonts w:ascii="Times New Roman" w:eastAsia="Times New Roman" w:hAnsi="Times New Roman" w:cs="Times New Roman"/>
                <w:i/>
                <w:color w:val="000000"/>
                <w:sz w:val="22"/>
                <w:szCs w:val="22"/>
              </w:rPr>
              <w:t xml:space="preserve"> 10 agosto 2018, n. 101, alle disposizioni contenute nel Regolamento UE 2016/679 (General data protection regulation, c.d. GDPR Privacy);</w:t>
            </w:r>
          </w:p>
          <w:p w:rsidR="0057044B" w:rsidRDefault="00406B49">
            <w:pPr>
              <w:spacing w:line="276" w:lineRule="auto"/>
              <w:ind w:right="285"/>
              <w:jc w:val="both"/>
              <w:rPr>
                <w:rFonts w:ascii="Garamond" w:eastAsia="Garamond" w:hAnsi="Garamond" w:cs="Garamond"/>
                <w:i/>
                <w:color w:val="FFFFFF"/>
                <w:sz w:val="24"/>
                <w:szCs w:val="24"/>
              </w:rPr>
            </w:pPr>
            <w:r>
              <w:rPr>
                <w:rFonts w:ascii="Times New Roman" w:eastAsia="Times New Roman" w:hAnsi="Times New Roman" w:cs="Times New Roman"/>
                <w:i/>
                <w:color w:val="000000"/>
                <w:sz w:val="22"/>
                <w:szCs w:val="22"/>
              </w:rPr>
              <w:t>▪        d.lgs. 25 maggio 2016, n. 97, Revisione e semplificazione delle disposizioni in materia di prevenzione della corruzione, pubblicità e trasparenza, correttivo della legge</w:t>
            </w:r>
            <w:hyperlink r:id="rId8">
              <w:r>
                <w:rPr>
                  <w:rFonts w:ascii="Times New Roman" w:eastAsia="Times New Roman" w:hAnsi="Times New Roman" w:cs="Times New Roman"/>
                  <w:i/>
                  <w:color w:val="000000"/>
                  <w:sz w:val="22"/>
                  <w:szCs w:val="22"/>
                </w:rPr>
                <w:t xml:space="preserve"> n. 190 del 6 novembre 2012</w:t>
              </w:r>
            </w:hyperlink>
            <w:r>
              <w:rPr>
                <w:rFonts w:ascii="Times New Roman" w:eastAsia="Times New Roman" w:hAnsi="Times New Roman" w:cs="Times New Roman"/>
                <w:i/>
                <w:color w:val="000000"/>
                <w:sz w:val="22"/>
                <w:szCs w:val="22"/>
              </w:rPr>
              <w:t xml:space="preserve"> e del </w:t>
            </w:r>
            <w:proofErr w:type="spellStart"/>
            <w:r>
              <w:rPr>
                <w:rFonts w:ascii="Times New Roman" w:eastAsia="Times New Roman" w:hAnsi="Times New Roman" w:cs="Times New Roman"/>
                <w:i/>
                <w:color w:val="000000"/>
                <w:sz w:val="22"/>
                <w:szCs w:val="22"/>
              </w:rPr>
              <w:t>d.l.</w:t>
            </w:r>
            <w:proofErr w:type="spellEnd"/>
            <w:r>
              <w:rPr>
                <w:rFonts w:ascii="Calibri" w:eastAsia="Calibri" w:hAnsi="Calibri" w:cs="Calibri"/>
                <w:color w:val="auto"/>
              </w:rPr>
              <w:fldChar w:fldCharType="begin"/>
            </w:r>
            <w:r>
              <w:instrText xml:space="preserve"> HYPERLINK "https://www.bosettiegatti.eu/info/norme/statali/2013_0033.htm" \h </w:instrText>
            </w:r>
            <w:r>
              <w:rPr>
                <w:rFonts w:ascii="Calibri" w:eastAsia="Calibri" w:hAnsi="Calibri" w:cs="Calibri"/>
                <w:color w:val="auto"/>
              </w:rPr>
              <w:fldChar w:fldCharType="separate"/>
            </w:r>
            <w:r>
              <w:rPr>
                <w:rFonts w:ascii="Times New Roman" w:eastAsia="Times New Roman" w:hAnsi="Times New Roman" w:cs="Times New Roman"/>
                <w:i/>
                <w:color w:val="000000"/>
                <w:sz w:val="22"/>
                <w:szCs w:val="22"/>
              </w:rPr>
              <w:t xml:space="preserve"> 14 marzo 2013, n. 33</w:t>
            </w:r>
            <w:r>
              <w:rPr>
                <w:rFonts w:ascii="Times New Roman" w:eastAsia="Times New Roman" w:hAnsi="Times New Roman" w:cs="Times New Roman"/>
                <w:i/>
                <w:color w:val="000000"/>
              </w:rPr>
              <w:fldChar w:fldCharType="end"/>
            </w:r>
            <w:r>
              <w:rPr>
                <w:rFonts w:ascii="Times New Roman" w:eastAsia="Times New Roman" w:hAnsi="Times New Roman" w:cs="Times New Roman"/>
                <w:i/>
                <w:color w:val="000000"/>
                <w:sz w:val="22"/>
                <w:szCs w:val="22"/>
              </w:rPr>
              <w:t>, ai sensi dell'</w:t>
            </w:r>
            <w:hyperlink r:id="rId9" w:anchor="07">
              <w:r>
                <w:rPr>
                  <w:rFonts w:ascii="Times New Roman" w:eastAsia="Times New Roman" w:hAnsi="Times New Roman" w:cs="Times New Roman"/>
                  <w:i/>
                  <w:color w:val="000000"/>
                  <w:sz w:val="22"/>
                  <w:szCs w:val="22"/>
                </w:rPr>
                <w:t>art. 7 della legge n. 124 del 7 agosto 2015,</w:t>
              </w:r>
            </w:hyperlink>
            <w:r>
              <w:rPr>
                <w:rFonts w:ascii="Times New Roman" w:eastAsia="Times New Roman" w:hAnsi="Times New Roman" w:cs="Times New Roman"/>
                <w:i/>
                <w:color w:val="000000"/>
                <w:sz w:val="22"/>
                <w:szCs w:val="22"/>
              </w:rPr>
              <w:t xml:space="preserve"> in materia di riorganizzazione delle Amministrazioni pubbliche.</w:t>
            </w:r>
          </w:p>
        </w:tc>
      </w:tr>
    </w:tbl>
    <w:p w:rsidR="0057044B" w:rsidRDefault="00406B49">
      <w:pPr>
        <w:spacing w:before="240" w:after="0" w:line="276" w:lineRule="auto"/>
        <w:jc w:val="both"/>
        <w:rPr>
          <w:rFonts w:ascii="Garamond" w:eastAsia="Garamond" w:hAnsi="Garamond" w:cs="Garamond"/>
          <w:b/>
          <w:smallCaps/>
          <w:sz w:val="24"/>
          <w:szCs w:val="24"/>
        </w:rPr>
      </w:pPr>
      <w:r>
        <w:rPr>
          <w:rFonts w:ascii="Garamond" w:eastAsia="Garamond" w:hAnsi="Garamond" w:cs="Garamond"/>
          <w:b/>
          <w:smallCaps/>
          <w:sz w:val="24"/>
          <w:szCs w:val="24"/>
        </w:rPr>
        <w:t xml:space="preserve"> </w:t>
      </w:r>
    </w:p>
    <w:p w:rsidR="0057044B" w:rsidRDefault="00406B49">
      <w:pPr>
        <w:rPr>
          <w:rFonts w:ascii="Times New Roman" w:eastAsia="Times New Roman" w:hAnsi="Times New Roman" w:cs="Times New Roman"/>
        </w:rPr>
      </w:pPr>
      <w:r>
        <w:rPr>
          <w:rFonts w:ascii="Times New Roman" w:eastAsia="Times New Roman" w:hAnsi="Times New Roman" w:cs="Times New Roman"/>
          <w:b/>
        </w:rPr>
        <w:t>2. Finalità del trattamento</w:t>
      </w:r>
    </w:p>
    <w:p w:rsidR="0057044B" w:rsidRDefault="00406B49">
      <w:pPr>
        <w:jc w:val="both"/>
        <w:rPr>
          <w:rFonts w:ascii="Times New Roman" w:eastAsia="Times New Roman" w:hAnsi="Times New Roman" w:cs="Times New Roman"/>
        </w:rPr>
      </w:pPr>
      <w:r>
        <w:rPr>
          <w:rFonts w:ascii="Times New Roman" w:eastAsia="Times New Roman" w:hAnsi="Times New Roman" w:cs="Times New Roman"/>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w:t>
      </w:r>
      <w:proofErr w:type="spellStart"/>
      <w:r>
        <w:rPr>
          <w:rFonts w:ascii="Times New Roman" w:eastAsia="Times New Roman" w:hAnsi="Times New Roman" w:cs="Times New Roman"/>
        </w:rPr>
        <w:t>endoprocedimentale</w:t>
      </w:r>
      <w:proofErr w:type="spellEnd"/>
      <w:r>
        <w:rPr>
          <w:rFonts w:ascii="Times New Roman" w:eastAsia="Times New Roman" w:hAnsi="Times New Roman" w:cs="Times New Roman"/>
        </w:rPr>
        <w:t>, procedimentale, istruttoria e di erogazione dell’agevolazione), oltre che per assolvere eventuali obblighi di legge, contabili e fiscali.</w:t>
      </w:r>
    </w:p>
    <w:p w:rsidR="0057044B" w:rsidRDefault="00406B49">
      <w:pPr>
        <w:rPr>
          <w:rFonts w:ascii="Times New Roman" w:eastAsia="Times New Roman" w:hAnsi="Times New Roman" w:cs="Times New Roman"/>
          <w:b/>
        </w:rPr>
      </w:pPr>
      <w:r>
        <w:rPr>
          <w:rFonts w:ascii="Times New Roman" w:eastAsia="Times New Roman" w:hAnsi="Times New Roman" w:cs="Times New Roman"/>
          <w:b/>
        </w:rPr>
        <w:t>Conferimento dati nell’ambito delle iniziative PNRR</w:t>
      </w:r>
    </w:p>
    <w:p w:rsidR="0057044B" w:rsidRDefault="00406B49">
      <w:pPr>
        <w:rPr>
          <w:rFonts w:ascii="Times New Roman" w:eastAsia="Times New Roman" w:hAnsi="Times New Roman" w:cs="Times New Roman"/>
        </w:rPr>
      </w:pPr>
      <w:r>
        <w:rPr>
          <w:rFonts w:ascii="Times New Roman" w:eastAsia="Times New Roman" w:hAnsi="Times New Roman" w:cs="Times New Roman"/>
        </w:rPr>
        <w:t>In ottemperanza alle disposizioni previste nel Dispositivo per la Ripresa e la Resilienza (RRF) e dal Decreto Legge 77 del 2021 convertito in Legge 29 luglio 2021, n. 108</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xml:space="preserve">- al Soggetto attuatore è demandata l’attuazione dei singoli progetti finanziati nell’ambito del PNRR. Il Soggetto Attuatore è responsabile dell’avvio, dell’attuazione e della funzionalità dei singoli interventi, della </w:t>
      </w:r>
      <w:r>
        <w:rPr>
          <w:rFonts w:ascii="Times New Roman" w:eastAsia="Times New Roman" w:hAnsi="Times New Roman" w:cs="Times New Roman"/>
        </w:rPr>
        <w:lastRenderedPageBreak/>
        <w:t>regolarità delle procedure e delle spese rendicontate a valere sulle risorse del PNRR, nonché del monitoraggio circa il conseguimento dei valori definiti per gli indicatori associati ai propri progetti;</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w:t>
      </w:r>
      <w:proofErr w:type="spellStart"/>
      <w:r>
        <w:rPr>
          <w:rFonts w:ascii="Times New Roman" w:eastAsia="Times New Roman" w:hAnsi="Times New Roman" w:cs="Times New Roman"/>
        </w:rPr>
        <w:t>ReGiS</w:t>
      </w:r>
      <w:proofErr w:type="spellEnd"/>
      <w:r>
        <w:rPr>
          <w:rFonts w:ascii="Times New Roman" w:eastAsia="Times New Roman" w:hAnsi="Times New Roman" w:cs="Times New Roman"/>
        </w:rPr>
        <w:t>,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rsidR="0057044B" w:rsidRDefault="00406B49">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Tipologie di dati conferiti</w:t>
      </w:r>
    </w:p>
    <w:p w:rsidR="0057044B" w:rsidRDefault="00406B4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xml:space="preserve"> di cui alla Circolare MEF n. 18 del 30 aprile 2014 revisionato sulla base delle specificità attuative del PNRR e comunicato tramite apposita nota circolare del Servizio Centrale per il PNRR.</w:t>
      </w:r>
    </w:p>
    <w:p w:rsidR="0057044B" w:rsidRDefault="00406B4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A titolo non esaustivo si indicano le principali informazioni oggetto di rilevazione:</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dati anagrafici del progetto e classificazioni identificative, quali CUP, CIG, identificativo del progetto, riferimenti alla Missione/Componente/Misura di riferimento, identificativo del Soggetto attuatore, tipologia di progetto, localizzazione;</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dati relativi ai soggetti coinvolti nell’attuazione, quali i Soggetti attuatori, realizzatori, destinatari degli interventi, incluso codice fiscale e/o partita IVA;</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dati finanziari, quali importo finanziato, eventuali altre fonti di finanziamento, quadro economico e relative voci di spesa, impegni contabili, impegni giuridicamente vincolanti, spese, pagamenti, recuperi, trasferimenti erogati;</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dati procedurali, quali cronoprogramma e step relativi alle diverse procedure di gara (es: affidamento lavori, acquisto beni e servizi) con indicazione della relativa tempistica e delle pertinenti voci di spesa;</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xml:space="preserve">▪ dati fisici, (previsti e realizzati) quali indicatori di output (progressi compiuti) e di </w:t>
      </w:r>
      <w:proofErr w:type="spellStart"/>
      <w:r>
        <w:rPr>
          <w:rFonts w:ascii="Times New Roman" w:eastAsia="Times New Roman" w:hAnsi="Times New Roman" w:cs="Times New Roman"/>
        </w:rPr>
        <w:t>outcome</w:t>
      </w:r>
      <w:proofErr w:type="spellEnd"/>
      <w:r>
        <w:rPr>
          <w:rFonts w:ascii="Times New Roman" w:eastAsia="Times New Roman" w:hAnsi="Times New Roman" w:cs="Times New Roman"/>
        </w:rPr>
        <w:t xml:space="preserve"> (effetti generati) attraverso la valorizzazione di un set di indicatori specifico e la raccolta e catalogazione di documentazione a supporto;</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livello di conseguimento di milestone e target, per gli interventi che concorrono al loro raggiungimento;</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dati relativi all’aggiornamento trimestrale relativo all’analisi degli scostamenti per ciascuna M&amp;T prevista nel Piano;</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elementi utili alla verifica del contributo all’obiettivo digitale e all’obiettivo sulla mitigazione del cambiamento climatico;</w:t>
      </w:r>
    </w:p>
    <w:p w:rsidR="0057044B" w:rsidRDefault="00406B49">
      <w:pPr>
        <w:pBdr>
          <w:top w:val="nil"/>
          <w:left w:val="nil"/>
          <w:bottom w:val="nil"/>
          <w:right w:val="nil"/>
          <w:between w:val="nil"/>
        </w:pBdr>
        <w:ind w:left="720"/>
        <w:jc w:val="both"/>
        <w:rPr>
          <w:rFonts w:ascii="Times New Roman" w:eastAsia="Times New Roman" w:hAnsi="Times New Roman" w:cs="Times New Roman"/>
        </w:rPr>
      </w:pPr>
      <w:r>
        <w:rPr>
          <w:rFonts w:ascii="Times New Roman" w:eastAsia="Times New Roman" w:hAnsi="Times New Roman" w:cs="Times New Roman"/>
        </w:rPr>
        <w:t xml:space="preserve">▪ elementi utili alla verifica del soddisfacimento del requisito “Do No </w:t>
      </w:r>
      <w:proofErr w:type="spellStart"/>
      <w:r>
        <w:rPr>
          <w:rFonts w:ascii="Times New Roman" w:eastAsia="Times New Roman" w:hAnsi="Times New Roman" w:cs="Times New Roman"/>
        </w:rPr>
        <w:t>Significant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Harm</w:t>
      </w:r>
      <w:proofErr w:type="spellEnd"/>
      <w:r>
        <w:rPr>
          <w:rFonts w:ascii="Times New Roman" w:eastAsia="Times New Roman" w:hAnsi="Times New Roman" w:cs="Times New Roman"/>
        </w:rPr>
        <w:t xml:space="preserve"> (DNSH)”;</w:t>
      </w:r>
    </w:p>
    <w:p w:rsidR="0057044B" w:rsidRDefault="00406B49">
      <w:pPr>
        <w:pBdr>
          <w:top w:val="nil"/>
          <w:left w:val="nil"/>
          <w:bottom w:val="nil"/>
          <w:right w:val="nil"/>
          <w:between w:val="nil"/>
        </w:pBdr>
        <w:ind w:left="720"/>
        <w:jc w:val="both"/>
        <w:rPr>
          <w:rFonts w:ascii="Garamond" w:eastAsia="Garamond" w:hAnsi="Garamond" w:cs="Garamond"/>
          <w:sz w:val="24"/>
          <w:szCs w:val="24"/>
        </w:rPr>
      </w:pPr>
      <w:r>
        <w:rPr>
          <w:rFonts w:ascii="Times New Roman" w:eastAsia="Times New Roman" w:hAnsi="Times New Roman" w:cs="Times New Roman"/>
        </w:rPr>
        <w:t>▪ atti e documentazione probatoria dell’avanzamento attuativo di progetto</w:t>
      </w:r>
      <w:r>
        <w:rPr>
          <w:rFonts w:ascii="Garamond" w:eastAsia="Garamond" w:hAnsi="Garamond" w:cs="Garamond"/>
          <w:sz w:val="24"/>
          <w:szCs w:val="24"/>
        </w:rPr>
        <w:t>.</w:t>
      </w:r>
    </w:p>
    <w:tbl>
      <w:tblPr>
        <w:tblStyle w:val="affffc"/>
        <w:tblW w:w="103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5"/>
        <w:gridCol w:w="9493"/>
      </w:tblGrid>
      <w:tr w:rsidR="0057044B">
        <w:trPr>
          <w:trHeight w:val="5690"/>
        </w:trPr>
        <w:tc>
          <w:tcPr>
            <w:tcW w:w="855" w:type="dxa"/>
            <w:tcBorders>
              <w:top w:val="nil"/>
              <w:left w:val="nil"/>
              <w:bottom w:val="nil"/>
              <w:right w:val="nil"/>
            </w:tcBorders>
            <w:shd w:val="clear" w:color="auto" w:fill="E7E6E6"/>
            <w:tcMar>
              <w:top w:w="100" w:type="dxa"/>
              <w:left w:w="100" w:type="dxa"/>
              <w:bottom w:w="100" w:type="dxa"/>
              <w:right w:w="100" w:type="dxa"/>
            </w:tcMar>
          </w:tcPr>
          <w:p w:rsidR="0057044B" w:rsidRDefault="0057044B">
            <w:pPr>
              <w:spacing w:line="276" w:lineRule="auto"/>
              <w:jc w:val="both"/>
              <w:rPr>
                <w:b/>
                <w:i/>
                <w:smallCaps/>
                <w:color w:val="000000"/>
              </w:rPr>
            </w:pPr>
          </w:p>
        </w:tc>
        <w:tc>
          <w:tcPr>
            <w:tcW w:w="9493" w:type="dxa"/>
            <w:tcBorders>
              <w:top w:val="nil"/>
              <w:left w:val="nil"/>
              <w:bottom w:val="nil"/>
              <w:right w:val="nil"/>
            </w:tcBorders>
            <w:shd w:val="clear" w:color="auto" w:fill="E7E6E6"/>
            <w:tcMar>
              <w:top w:w="100" w:type="dxa"/>
              <w:left w:w="100" w:type="dxa"/>
              <w:bottom w:w="100" w:type="dxa"/>
              <w:right w:w="100" w:type="dxa"/>
            </w:tcMar>
          </w:tcPr>
          <w:p w:rsidR="0057044B" w:rsidRDefault="00406B49">
            <w:pPr>
              <w:spacing w:before="240" w:after="120" w:line="276" w:lineRule="auto"/>
              <w:jc w:val="both"/>
              <w:rPr>
                <w:rFonts w:ascii="Garamond" w:eastAsia="Garamond" w:hAnsi="Garamond" w:cs="Garamond"/>
                <w:b/>
                <w:i/>
                <w:smallCaps/>
                <w:color w:val="000000"/>
                <w:sz w:val="24"/>
                <w:szCs w:val="24"/>
              </w:rPr>
            </w:pPr>
            <w:r>
              <w:rPr>
                <w:rFonts w:ascii="Garamond" w:eastAsia="Garamond" w:hAnsi="Garamond" w:cs="Garamond"/>
                <w:b/>
                <w:i/>
                <w:smallCaps/>
                <w:color w:val="000000"/>
                <w:sz w:val="24"/>
                <w:szCs w:val="24"/>
              </w:rPr>
              <w:t xml:space="preserve">definizioni </w:t>
            </w:r>
          </w:p>
          <w:p w:rsidR="0057044B" w:rsidRDefault="00406B49">
            <w:pPr>
              <w:spacing w:before="240" w:after="120" w:line="276" w:lineRule="auto"/>
              <w:jc w:val="both"/>
              <w:rPr>
                <w:rFonts w:ascii="Garamond" w:eastAsia="Garamond" w:hAnsi="Garamond" w:cs="Garamond"/>
                <w:b/>
                <w:i/>
                <w:smallCaps/>
                <w:color w:val="000000"/>
                <w:sz w:val="24"/>
                <w:szCs w:val="24"/>
              </w:rPr>
            </w:pPr>
            <w:r>
              <w:rPr>
                <w:rFonts w:ascii="Garamond" w:eastAsia="Garamond" w:hAnsi="Garamond" w:cs="Garamond"/>
                <w:b/>
                <w:i/>
                <w:smallCaps/>
                <w:color w:val="000000"/>
                <w:sz w:val="24"/>
                <w:szCs w:val="24"/>
              </w:rPr>
              <w:t>Amministrazioni centrali titolari di interventi PNRR</w:t>
            </w:r>
          </w:p>
          <w:p w:rsidR="0057044B" w:rsidRDefault="00406B49">
            <w:pPr>
              <w:spacing w:after="120" w:line="276" w:lineRule="auto"/>
              <w:ind w:left="340"/>
              <w:jc w:val="both"/>
              <w:rPr>
                <w:rFonts w:ascii="Garamond" w:eastAsia="Garamond" w:hAnsi="Garamond" w:cs="Garamond"/>
                <w:i/>
                <w:color w:val="000000"/>
                <w:sz w:val="24"/>
                <w:szCs w:val="24"/>
              </w:rPr>
            </w:pPr>
            <w:r>
              <w:rPr>
                <w:rFonts w:ascii="Garamond" w:eastAsia="Garamond" w:hAnsi="Garamond" w:cs="Garamond"/>
                <w:i/>
                <w:color w:val="000000"/>
                <w:sz w:val="24"/>
                <w:szCs w:val="24"/>
              </w:rPr>
              <w:t>Ministeri e strutture della Presidenza del Consiglio dei ministri responsabili dell'attuazione delle riforme e degli investimenti (ossia delle Misure) previsti nel PNRR</w:t>
            </w:r>
          </w:p>
          <w:p w:rsidR="0057044B" w:rsidRDefault="00406B49">
            <w:pPr>
              <w:spacing w:after="0" w:line="240" w:lineRule="auto"/>
              <w:rPr>
                <w:rFonts w:ascii="Garamond" w:eastAsia="Garamond" w:hAnsi="Garamond" w:cs="Garamond"/>
                <w:b/>
                <w:i/>
                <w:color w:val="000000"/>
                <w:sz w:val="22"/>
                <w:szCs w:val="22"/>
              </w:rPr>
            </w:pPr>
            <w:r>
              <w:rPr>
                <w:rFonts w:ascii="Garamond" w:eastAsia="Garamond" w:hAnsi="Garamond" w:cs="Garamond"/>
                <w:b/>
                <w:i/>
                <w:color w:val="000000"/>
                <w:sz w:val="22"/>
                <w:szCs w:val="22"/>
              </w:rPr>
              <w:t>Nel caso specifico: Unità di Missione per l’attuazione degli interventi PNRR – MLPS</w:t>
            </w:r>
          </w:p>
          <w:p w:rsidR="0057044B" w:rsidRDefault="00406B49">
            <w:pPr>
              <w:spacing w:before="240" w:after="120" w:line="276" w:lineRule="auto"/>
              <w:jc w:val="both"/>
              <w:rPr>
                <w:rFonts w:ascii="Garamond" w:eastAsia="Garamond" w:hAnsi="Garamond" w:cs="Garamond"/>
                <w:b/>
                <w:i/>
                <w:smallCaps/>
                <w:color w:val="000000"/>
                <w:sz w:val="24"/>
                <w:szCs w:val="24"/>
              </w:rPr>
            </w:pPr>
            <w:r>
              <w:rPr>
                <w:rFonts w:ascii="Garamond" w:eastAsia="Garamond" w:hAnsi="Garamond" w:cs="Garamond"/>
                <w:b/>
                <w:i/>
                <w:smallCaps/>
                <w:color w:val="000000"/>
                <w:sz w:val="24"/>
                <w:szCs w:val="24"/>
              </w:rPr>
              <w:t>Soggetto attuatore</w:t>
            </w:r>
          </w:p>
          <w:p w:rsidR="0057044B" w:rsidRDefault="00406B49">
            <w:pPr>
              <w:spacing w:before="240" w:after="240" w:line="256" w:lineRule="auto"/>
              <w:ind w:left="340"/>
              <w:jc w:val="both"/>
              <w:rPr>
                <w:rFonts w:ascii="Garamond" w:eastAsia="Garamond" w:hAnsi="Garamond" w:cs="Garamond"/>
                <w:b/>
                <w:i/>
                <w:smallCaps/>
                <w:color w:val="000000"/>
                <w:sz w:val="24"/>
                <w:szCs w:val="24"/>
              </w:rPr>
            </w:pPr>
            <w:r>
              <w:rPr>
                <w:rFonts w:ascii="Garamond" w:eastAsia="Garamond" w:hAnsi="Garamond" w:cs="Garamond"/>
                <w:i/>
                <w:color w:val="000000"/>
                <w:sz w:val="24"/>
                <w:szCs w:val="24"/>
              </w:rPr>
              <w:t>Soggetto pubblico o privato responsabile dell’attuazione dell’intervento/progetto finanziato dal PNRR</w:t>
            </w:r>
            <w:r>
              <w:rPr>
                <w:rFonts w:ascii="Garamond" w:eastAsia="Garamond" w:hAnsi="Garamond" w:cs="Garamond"/>
                <w:b/>
                <w:i/>
                <w:smallCaps/>
                <w:color w:val="000000"/>
                <w:sz w:val="24"/>
                <w:szCs w:val="24"/>
              </w:rPr>
              <w:t>.</w:t>
            </w:r>
          </w:p>
          <w:p w:rsidR="0057044B" w:rsidRDefault="00406B49">
            <w:pPr>
              <w:spacing w:before="240" w:after="240" w:line="256" w:lineRule="auto"/>
              <w:ind w:left="340"/>
              <w:jc w:val="both"/>
              <w:rPr>
                <w:rFonts w:ascii="Garamond" w:eastAsia="Garamond" w:hAnsi="Garamond" w:cs="Garamond"/>
                <w:i/>
                <w:color w:val="000000"/>
                <w:sz w:val="24"/>
                <w:szCs w:val="24"/>
              </w:rPr>
            </w:pPr>
            <w:r>
              <w:rPr>
                <w:rFonts w:ascii="Garamond" w:eastAsia="Garamond" w:hAnsi="Garamond" w:cs="Garamond"/>
                <w:i/>
                <w:color w:val="000000"/>
                <w:sz w:val="24"/>
                <w:szCs w:val="24"/>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rsidR="0057044B" w:rsidRDefault="00406B49">
            <w:pPr>
              <w:spacing w:after="0" w:line="240" w:lineRule="auto"/>
              <w:rPr>
                <w:rFonts w:ascii="Garamond" w:eastAsia="Garamond" w:hAnsi="Garamond" w:cs="Garamond"/>
                <w:b/>
                <w:i/>
                <w:color w:val="000000"/>
                <w:sz w:val="22"/>
                <w:szCs w:val="22"/>
              </w:rPr>
            </w:pPr>
            <w:r>
              <w:rPr>
                <w:rFonts w:ascii="Garamond" w:eastAsia="Garamond" w:hAnsi="Garamond" w:cs="Garamond"/>
                <w:b/>
                <w:i/>
                <w:color w:val="000000"/>
                <w:sz w:val="22"/>
                <w:szCs w:val="22"/>
              </w:rPr>
              <w:t>Nel caso specifico: DG Politiche Attive del lavoro – MLPS</w:t>
            </w:r>
          </w:p>
          <w:p w:rsidR="0057044B" w:rsidRDefault="0057044B">
            <w:pPr>
              <w:spacing w:after="0" w:line="240" w:lineRule="auto"/>
              <w:rPr>
                <w:rFonts w:ascii="Garamond" w:eastAsia="Garamond" w:hAnsi="Garamond" w:cs="Garamond"/>
                <w:b/>
                <w:i/>
                <w:color w:val="000000"/>
                <w:sz w:val="22"/>
                <w:szCs w:val="22"/>
              </w:rPr>
            </w:pPr>
          </w:p>
          <w:p w:rsidR="0057044B" w:rsidRDefault="00406B49">
            <w:pPr>
              <w:spacing w:before="120" w:after="120" w:line="276" w:lineRule="auto"/>
              <w:jc w:val="both"/>
              <w:rPr>
                <w:rFonts w:ascii="Garamond" w:eastAsia="Garamond" w:hAnsi="Garamond" w:cs="Garamond"/>
                <w:b/>
                <w:i/>
                <w:smallCaps/>
                <w:color w:val="000000"/>
                <w:sz w:val="24"/>
                <w:szCs w:val="24"/>
              </w:rPr>
            </w:pPr>
            <w:r>
              <w:rPr>
                <w:rFonts w:ascii="Garamond" w:eastAsia="Garamond" w:hAnsi="Garamond" w:cs="Garamond"/>
                <w:b/>
                <w:i/>
                <w:smallCaps/>
                <w:color w:val="000000"/>
                <w:sz w:val="24"/>
                <w:szCs w:val="24"/>
              </w:rPr>
              <w:t>Soggetto realizzatore o soggetto esecutore</w:t>
            </w:r>
          </w:p>
          <w:p w:rsidR="0057044B" w:rsidRDefault="00406B49">
            <w:pPr>
              <w:spacing w:before="240" w:after="240" w:line="256" w:lineRule="auto"/>
              <w:ind w:left="340"/>
              <w:jc w:val="both"/>
              <w:rPr>
                <w:rFonts w:ascii="Garamond" w:eastAsia="Garamond" w:hAnsi="Garamond" w:cs="Garamond"/>
                <w:i/>
                <w:color w:val="000000"/>
                <w:sz w:val="24"/>
                <w:szCs w:val="24"/>
              </w:rPr>
            </w:pPr>
            <w:r>
              <w:rPr>
                <w:rFonts w:ascii="Garamond" w:eastAsia="Garamond" w:hAnsi="Garamond" w:cs="Garamond"/>
                <w:i/>
                <w:color w:val="000000"/>
                <w:sz w:val="24"/>
                <w:szCs w:val="24"/>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rsidR="0057044B" w:rsidRDefault="00406B49">
            <w:pPr>
              <w:spacing w:after="0" w:line="240" w:lineRule="auto"/>
              <w:rPr>
                <w:rFonts w:ascii="Garamond" w:eastAsia="Garamond" w:hAnsi="Garamond" w:cs="Garamond"/>
                <w:b/>
                <w:i/>
                <w:color w:val="000000"/>
                <w:sz w:val="22"/>
                <w:szCs w:val="22"/>
              </w:rPr>
            </w:pPr>
            <w:r>
              <w:rPr>
                <w:rFonts w:ascii="Garamond" w:eastAsia="Garamond" w:hAnsi="Garamond" w:cs="Garamond"/>
                <w:b/>
                <w:i/>
                <w:color w:val="000000"/>
                <w:sz w:val="22"/>
                <w:szCs w:val="22"/>
              </w:rPr>
              <w:t>Nel caso specifico: Regione del Veneto</w:t>
            </w:r>
          </w:p>
          <w:p w:rsidR="0057044B" w:rsidRDefault="00406B49">
            <w:pPr>
              <w:spacing w:before="240" w:after="240" w:line="256" w:lineRule="auto"/>
              <w:jc w:val="both"/>
              <w:rPr>
                <w:rFonts w:ascii="Garamond" w:eastAsia="Garamond" w:hAnsi="Garamond" w:cs="Garamond"/>
                <w:b/>
                <w:i/>
                <w:smallCaps/>
                <w:color w:val="000000"/>
                <w:sz w:val="24"/>
                <w:szCs w:val="24"/>
              </w:rPr>
            </w:pPr>
            <w:r>
              <w:rPr>
                <w:rFonts w:ascii="Garamond" w:eastAsia="Garamond" w:hAnsi="Garamond" w:cs="Garamond"/>
                <w:b/>
                <w:i/>
                <w:smallCaps/>
                <w:color w:val="000000"/>
                <w:sz w:val="24"/>
                <w:szCs w:val="24"/>
              </w:rPr>
              <w:t>Soggetto destinatario</w:t>
            </w:r>
          </w:p>
          <w:p w:rsidR="0057044B" w:rsidRDefault="00406B49">
            <w:pPr>
              <w:spacing w:before="240" w:after="240" w:line="256" w:lineRule="auto"/>
              <w:ind w:left="340"/>
              <w:jc w:val="both"/>
              <w:rPr>
                <w:rFonts w:ascii="Garamond" w:eastAsia="Garamond" w:hAnsi="Garamond" w:cs="Garamond"/>
                <w:b/>
                <w:i/>
                <w:smallCaps/>
                <w:color w:val="000000"/>
                <w:sz w:val="24"/>
                <w:szCs w:val="24"/>
              </w:rPr>
            </w:pPr>
            <w:r>
              <w:rPr>
                <w:rFonts w:ascii="Garamond" w:eastAsia="Garamond" w:hAnsi="Garamond" w:cs="Garamond"/>
                <w:i/>
                <w:color w:val="000000"/>
                <w:sz w:val="24"/>
                <w:szCs w:val="24"/>
              </w:rPr>
              <w:t>Soggetto destinatario finale dei fondi (es. Impresa, individuo, famiglia, amministrazione pubblica ecc.)</w:t>
            </w:r>
            <w:r>
              <w:rPr>
                <w:rFonts w:ascii="Garamond" w:eastAsia="Garamond" w:hAnsi="Garamond" w:cs="Garamond"/>
                <w:b/>
                <w:i/>
                <w:smallCaps/>
                <w:color w:val="000000"/>
                <w:sz w:val="24"/>
                <w:szCs w:val="24"/>
              </w:rPr>
              <w:t>.</w:t>
            </w:r>
          </w:p>
          <w:p w:rsidR="0057044B" w:rsidRDefault="00406B49">
            <w:pPr>
              <w:spacing w:after="0" w:line="240" w:lineRule="auto"/>
              <w:rPr>
                <w:rFonts w:ascii="Garamond" w:eastAsia="Garamond" w:hAnsi="Garamond" w:cs="Garamond"/>
                <w:b/>
                <w:i/>
                <w:smallCaps/>
                <w:color w:val="000000"/>
                <w:sz w:val="24"/>
                <w:szCs w:val="24"/>
              </w:rPr>
            </w:pPr>
            <w:r>
              <w:rPr>
                <w:rFonts w:ascii="Garamond" w:eastAsia="Garamond" w:hAnsi="Garamond" w:cs="Garamond"/>
                <w:b/>
                <w:i/>
                <w:color w:val="000000"/>
                <w:sz w:val="22"/>
                <w:szCs w:val="22"/>
              </w:rPr>
              <w:t>Nel caso specifico: Organismi di formazione accreditati presso la regione Veneto per l’ambito formazione iniziale</w:t>
            </w:r>
            <w:r>
              <w:rPr>
                <w:rFonts w:ascii="Garamond" w:eastAsia="Garamond" w:hAnsi="Garamond" w:cs="Garamond"/>
                <w:i/>
                <w:color w:val="000000"/>
                <w:sz w:val="24"/>
                <w:szCs w:val="24"/>
              </w:rPr>
              <w:t xml:space="preserve"> </w:t>
            </w:r>
          </w:p>
        </w:tc>
      </w:tr>
    </w:tbl>
    <w:p w:rsidR="0057044B" w:rsidRDefault="00406B49">
      <w:pPr>
        <w:spacing w:before="240" w:after="0" w:line="360" w:lineRule="auto"/>
        <w:jc w:val="both"/>
        <w:rPr>
          <w:rFonts w:ascii="Garamond" w:eastAsia="Garamond" w:hAnsi="Garamond" w:cs="Garamond"/>
          <w:b/>
          <w:smallCaps/>
          <w:color w:val="FFFFFF"/>
          <w:sz w:val="24"/>
          <w:szCs w:val="24"/>
        </w:rPr>
      </w:pPr>
      <w:r>
        <w:rPr>
          <w:rFonts w:ascii="Garamond" w:eastAsia="Garamond" w:hAnsi="Garamond" w:cs="Garamond"/>
          <w:b/>
          <w:smallCaps/>
          <w:color w:val="FFFFFF"/>
          <w:sz w:val="24"/>
          <w:szCs w:val="24"/>
        </w:rPr>
        <w:t xml:space="preserve"> </w:t>
      </w:r>
    </w:p>
    <w:p w:rsidR="0057044B" w:rsidRDefault="0057044B">
      <w:pPr>
        <w:spacing w:before="240" w:after="0" w:line="360" w:lineRule="auto"/>
        <w:jc w:val="both"/>
        <w:rPr>
          <w:rFonts w:ascii="Garamond" w:eastAsia="Garamond" w:hAnsi="Garamond" w:cs="Garamond"/>
          <w:b/>
          <w:smallCaps/>
          <w:color w:val="FFFFFF"/>
          <w:sz w:val="24"/>
          <w:szCs w:val="24"/>
        </w:rPr>
      </w:pPr>
    </w:p>
    <w:p w:rsidR="0057044B" w:rsidRDefault="00406B49">
      <w:pPr>
        <w:pBdr>
          <w:top w:val="nil"/>
          <w:left w:val="nil"/>
          <w:bottom w:val="nil"/>
          <w:right w:val="nil"/>
          <w:between w:val="nil"/>
        </w:pBdr>
        <w:rPr>
          <w:rFonts w:ascii="Times New Roman" w:eastAsia="Times New Roman" w:hAnsi="Times New Roman" w:cs="Times New Roman"/>
          <w:b/>
        </w:rPr>
      </w:pPr>
      <w:r>
        <w:rPr>
          <w:rFonts w:ascii="Garamond" w:eastAsia="Garamond" w:hAnsi="Garamond" w:cs="Garamond"/>
          <w:b/>
          <w:sz w:val="24"/>
          <w:szCs w:val="24"/>
        </w:rPr>
        <w:t>3</w:t>
      </w:r>
      <w:r>
        <w:rPr>
          <w:rFonts w:ascii="Times New Roman" w:eastAsia="Times New Roman" w:hAnsi="Times New Roman" w:cs="Times New Roman"/>
          <w:b/>
        </w:rPr>
        <w:t>. Soggetti del trattamento</w:t>
      </w:r>
    </w:p>
    <w:p w:rsidR="0057044B" w:rsidRDefault="00406B49">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Giunta Regionale del Veneto, con sede in: Venezia, Palazzo Balbi - </w:t>
      </w:r>
      <w:proofErr w:type="spellStart"/>
      <w:r>
        <w:rPr>
          <w:rFonts w:ascii="Times New Roman" w:eastAsia="Times New Roman" w:hAnsi="Times New Roman" w:cs="Times New Roman"/>
        </w:rPr>
        <w:t>Dorsoduro</w:t>
      </w:r>
      <w:proofErr w:type="spellEnd"/>
      <w:r>
        <w:rPr>
          <w:rFonts w:ascii="Times New Roman" w:eastAsia="Times New Roman" w:hAnsi="Times New Roman" w:cs="Times New Roman"/>
        </w:rPr>
        <w:t xml:space="preserve"> 3901 è il Titolare del trattamento</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dei dati personali forniti dai soggetti coinvolti e/o interessati a vario titolo alle iniziative finanziate nell’ambito del Piano Nazionale di Ripresa e Resilienza.</w:t>
      </w:r>
    </w:p>
    <w:p w:rsidR="0057044B" w:rsidRDefault="00406B49">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Ai sensi della DGR n. 596 del 8 maggio 2021, Delegato al trattamento è il Dirigente della Direzione Formazione e Istruzione, dott. Massimo Marzano Bernardi  (Palazzo Grandi Stazioni - Fondamenta Santa Lucia, </w:t>
      </w:r>
      <w:proofErr w:type="spellStart"/>
      <w:r>
        <w:rPr>
          <w:rFonts w:ascii="Times New Roman" w:eastAsia="Times New Roman" w:hAnsi="Times New Roman" w:cs="Times New Roman"/>
        </w:rPr>
        <w:t>Cannaregio</w:t>
      </w:r>
      <w:proofErr w:type="spellEnd"/>
      <w:r>
        <w:rPr>
          <w:rFonts w:ascii="Times New Roman" w:eastAsia="Times New Roman" w:hAnsi="Times New Roman" w:cs="Times New Roman"/>
        </w:rPr>
        <w:t xml:space="preserve">, 23 - 30121 Venezia (VE) -  Tel. 041/2795013-5019-5031-5094-5325 – Fax 041/2795085 e-mail: </w:t>
      </w:r>
      <w:hyperlink r:id="rId10">
        <w:r>
          <w:rPr>
            <w:rFonts w:ascii="Times New Roman" w:eastAsia="Times New Roman" w:hAnsi="Times New Roman" w:cs="Times New Roman"/>
          </w:rPr>
          <w:t>formazioneistruzione@regione.veneto.it</w:t>
        </w:r>
      </w:hyperlink>
      <w:r>
        <w:rPr>
          <w:rFonts w:ascii="Times New Roman" w:eastAsia="Times New Roman" w:hAnsi="Times New Roman" w:cs="Times New Roman"/>
        </w:rPr>
        <w:t xml:space="preserve"> , PEC: </w:t>
      </w:r>
      <w:hyperlink r:id="rId11">
        <w:r>
          <w:rPr>
            <w:rFonts w:ascii="Times New Roman" w:eastAsia="Times New Roman" w:hAnsi="Times New Roman" w:cs="Times New Roman"/>
          </w:rPr>
          <w:t>formazioneistruzione@pec.regione.veneto.it</w:t>
        </w:r>
      </w:hyperlink>
      <w:r>
        <w:rPr>
          <w:rFonts w:ascii="Times New Roman" w:eastAsia="Times New Roman" w:hAnsi="Times New Roman" w:cs="Times New Roman"/>
        </w:rPr>
        <w:t xml:space="preserve"> pagina istituzionale: https://www.regione.veneto.it/privacy</w:t>
      </w:r>
    </w:p>
    <w:p w:rsidR="0057044B" w:rsidRDefault="00406B49">
      <w:p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w:t>
      </w:r>
      <w:r>
        <w:rPr>
          <w:rFonts w:ascii="Times New Roman" w:eastAsia="Times New Roman" w:hAnsi="Times New Roman" w:cs="Times New Roman"/>
        </w:rPr>
        <w:lastRenderedPageBreak/>
        <w:t>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57044B" w:rsidRDefault="00406B49">
      <w:pPr>
        <w:spacing w:before="240" w:after="0" w:line="360" w:lineRule="auto"/>
        <w:jc w:val="both"/>
        <w:rPr>
          <w:rFonts w:ascii="Times New Roman" w:eastAsia="Times New Roman" w:hAnsi="Times New Roman" w:cs="Times New Roman"/>
          <w:b/>
          <w:smallCaps/>
        </w:rPr>
      </w:pPr>
      <w:r>
        <w:rPr>
          <w:rFonts w:ascii="Times New Roman" w:eastAsia="Times New Roman" w:hAnsi="Times New Roman" w:cs="Times New Roman"/>
          <w:b/>
          <w:smallCaps/>
        </w:rPr>
        <w:t xml:space="preserve"> </w:t>
      </w:r>
    </w:p>
    <w:p w:rsidR="0057044B" w:rsidRDefault="00406B49">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4. Modalità del trattamento ed ambito di diffusione dei dati trasmessi</w:t>
      </w:r>
    </w:p>
    <w:p w:rsidR="0057044B" w:rsidRDefault="00406B49">
      <w:pPr>
        <w:pBdr>
          <w:top w:val="nil"/>
          <w:left w:val="nil"/>
          <w:bottom w:val="nil"/>
          <w:right w:val="nil"/>
          <w:between w:val="nil"/>
        </w:pBd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rsidR="0057044B" w:rsidRDefault="00406B49">
      <w:pPr>
        <w:pBdr>
          <w:top w:val="nil"/>
          <w:left w:val="nil"/>
          <w:bottom w:val="nil"/>
          <w:right w:val="nil"/>
          <w:between w:val="nil"/>
        </w:pBd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rsidR="0057044B" w:rsidRDefault="00406B49">
      <w:pPr>
        <w:spacing w:after="0" w:line="276" w:lineRule="auto"/>
        <w:ind w:left="720"/>
        <w:jc w:val="both"/>
        <w:rPr>
          <w:rFonts w:ascii="Garamond" w:eastAsia="Garamond" w:hAnsi="Garamond" w:cs="Garamond"/>
          <w:b/>
          <w:smallCaps/>
          <w:sz w:val="24"/>
          <w:szCs w:val="24"/>
        </w:rPr>
      </w:pPr>
      <w:r>
        <w:rPr>
          <w:rFonts w:ascii="Garamond" w:eastAsia="Garamond" w:hAnsi="Garamond" w:cs="Garamond"/>
          <w:b/>
          <w:smallCaps/>
          <w:sz w:val="24"/>
          <w:szCs w:val="24"/>
        </w:rPr>
        <w:t xml:space="preserve"> </w:t>
      </w:r>
    </w:p>
    <w:tbl>
      <w:tblPr>
        <w:tblStyle w:val="affffd"/>
        <w:tblW w:w="1020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57044B">
        <w:trPr>
          <w:trHeight w:val="8030"/>
        </w:trPr>
        <w:tc>
          <w:tcPr>
            <w:tcW w:w="10206" w:type="dxa"/>
            <w:tcBorders>
              <w:top w:val="nil"/>
              <w:left w:val="nil"/>
              <w:bottom w:val="nil"/>
              <w:right w:val="nil"/>
            </w:tcBorders>
            <w:shd w:val="clear" w:color="auto" w:fill="E7E6E6"/>
            <w:tcMar>
              <w:top w:w="100" w:type="dxa"/>
              <w:left w:w="100" w:type="dxa"/>
              <w:bottom w:w="100" w:type="dxa"/>
              <w:right w:w="100" w:type="dxa"/>
            </w:tcMar>
          </w:tcPr>
          <w:p w:rsidR="0057044B" w:rsidRDefault="00406B49">
            <w:pPr>
              <w:spacing w:line="276" w:lineRule="auto"/>
              <w:ind w:left="220" w:right="320"/>
              <w:jc w:val="center"/>
              <w:rPr>
                <w:rFonts w:ascii="Garamond" w:eastAsia="Garamond" w:hAnsi="Garamond" w:cs="Garamond"/>
                <w:b/>
                <w:i/>
                <w:smallCaps/>
                <w:color w:val="000000"/>
              </w:rPr>
            </w:pPr>
            <w:r>
              <w:rPr>
                <w:rFonts w:ascii="Garamond" w:eastAsia="Garamond" w:hAnsi="Garamond" w:cs="Garamond"/>
                <w:b/>
                <w:i/>
                <w:smallCaps/>
                <w:color w:val="000000"/>
              </w:rPr>
              <w:t>Regolamento (UE) 2021/241</w:t>
            </w:r>
          </w:p>
          <w:p w:rsidR="0057044B" w:rsidRDefault="00406B49">
            <w:pPr>
              <w:spacing w:before="240" w:after="240" w:line="276" w:lineRule="auto"/>
              <w:ind w:right="320"/>
              <w:jc w:val="center"/>
              <w:rPr>
                <w:rFonts w:ascii="Garamond" w:eastAsia="Garamond" w:hAnsi="Garamond" w:cs="Garamond"/>
                <w:b/>
                <w:i/>
                <w:smallCaps/>
                <w:color w:val="000000"/>
              </w:rPr>
            </w:pPr>
            <w:r>
              <w:rPr>
                <w:rFonts w:ascii="Garamond" w:eastAsia="Garamond" w:hAnsi="Garamond" w:cs="Garamond"/>
                <w:b/>
                <w:i/>
                <w:smallCaps/>
                <w:color w:val="000000"/>
              </w:rPr>
              <w:t>Art. 22 “Tutela degli interessi finanziari dell'Unione”</w:t>
            </w:r>
          </w:p>
          <w:p w:rsidR="0057044B" w:rsidRDefault="00406B49">
            <w:pPr>
              <w:spacing w:before="120" w:after="120" w:line="276" w:lineRule="auto"/>
              <w:ind w:right="320"/>
              <w:jc w:val="both"/>
              <w:rPr>
                <w:rFonts w:ascii="Garamond" w:eastAsia="Garamond" w:hAnsi="Garamond" w:cs="Garamond"/>
                <w:b/>
                <w:i/>
                <w:smallCaps/>
                <w:color w:val="000000"/>
              </w:rPr>
            </w:pPr>
            <w:r>
              <w:rPr>
                <w:rFonts w:ascii="Garamond" w:eastAsia="Garamond" w:hAnsi="Garamond" w:cs="Garamond"/>
                <w:b/>
                <w:i/>
                <w:smallCaps/>
                <w:color w:val="000000"/>
              </w:rPr>
              <w:t xml:space="preserve">Paragrafo 2) </w:t>
            </w:r>
            <w:proofErr w:type="spellStart"/>
            <w:r>
              <w:rPr>
                <w:rFonts w:ascii="Garamond" w:eastAsia="Garamond" w:hAnsi="Garamond" w:cs="Garamond"/>
                <w:b/>
                <w:i/>
                <w:smallCaps/>
                <w:color w:val="000000"/>
              </w:rPr>
              <w:t>lett</w:t>
            </w:r>
            <w:proofErr w:type="spellEnd"/>
            <w:r>
              <w:rPr>
                <w:rFonts w:ascii="Garamond" w:eastAsia="Garamond" w:hAnsi="Garamond" w:cs="Garamond"/>
                <w:b/>
                <w:i/>
                <w:smallCaps/>
                <w:color w:val="000000"/>
              </w:rPr>
              <w:t xml:space="preserve"> d)</w:t>
            </w:r>
          </w:p>
          <w:p w:rsidR="0057044B" w:rsidRDefault="00406B49">
            <w:pPr>
              <w:spacing w:before="120" w:after="120" w:line="276" w:lineRule="auto"/>
              <w:ind w:left="220" w:right="320"/>
              <w:jc w:val="both"/>
              <w:rPr>
                <w:rFonts w:ascii="Garamond" w:eastAsia="Garamond" w:hAnsi="Garamond" w:cs="Garamond"/>
                <w:b/>
                <w:i/>
                <w:smallCaps/>
                <w:color w:val="000000"/>
                <w:sz w:val="21"/>
                <w:szCs w:val="21"/>
              </w:rPr>
            </w:pPr>
            <w:r>
              <w:rPr>
                <w:rFonts w:ascii="Garamond" w:eastAsia="Garamond" w:hAnsi="Garamond" w:cs="Garamond"/>
                <w:b/>
                <w:i/>
                <w:smallCaps/>
                <w:color w:val="000000"/>
                <w:sz w:val="21"/>
                <w:szCs w:val="21"/>
              </w:rPr>
              <w:t>“</w:t>
            </w:r>
            <w:r>
              <w:rPr>
                <w:rFonts w:ascii="Garamond" w:eastAsia="Garamond" w:hAnsi="Garamond" w:cs="Garamond"/>
                <w:i/>
                <w:color w:val="000000"/>
                <w:sz w:val="24"/>
                <w:szCs w:val="24"/>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rsidR="0057044B" w:rsidRDefault="00406B49">
            <w:pPr>
              <w:spacing w:after="0" w:line="240" w:lineRule="auto"/>
              <w:ind w:left="1133" w:hanging="425"/>
              <w:jc w:val="both"/>
              <w:rPr>
                <w:rFonts w:ascii="Garamond" w:eastAsia="Garamond" w:hAnsi="Garamond" w:cs="Garamond"/>
                <w:i/>
                <w:color w:val="000000"/>
                <w:sz w:val="24"/>
                <w:szCs w:val="24"/>
              </w:rPr>
            </w:pPr>
            <w:r>
              <w:rPr>
                <w:i/>
                <w:color w:val="000000"/>
              </w:rPr>
              <w:t xml:space="preserve">i)   </w:t>
            </w:r>
            <w:r>
              <w:rPr>
                <w:rFonts w:ascii="Garamond" w:eastAsia="Garamond" w:hAnsi="Garamond" w:cs="Garamond"/>
                <w:i/>
                <w:color w:val="000000"/>
                <w:sz w:val="24"/>
                <w:szCs w:val="24"/>
              </w:rPr>
              <w:t xml:space="preserve">   il nome del destinatario finale dei fondi;</w:t>
            </w:r>
          </w:p>
          <w:p w:rsidR="0057044B" w:rsidRDefault="00406B49">
            <w:pPr>
              <w:spacing w:after="0" w:line="240" w:lineRule="auto"/>
              <w:ind w:left="1133" w:hanging="425"/>
              <w:jc w:val="both"/>
              <w:rPr>
                <w:rFonts w:ascii="Garamond" w:eastAsia="Garamond" w:hAnsi="Garamond" w:cs="Garamond"/>
                <w:i/>
                <w:color w:val="000000"/>
                <w:sz w:val="24"/>
                <w:szCs w:val="24"/>
              </w:rPr>
            </w:pPr>
            <w:r>
              <w:rPr>
                <w:rFonts w:ascii="Garamond" w:eastAsia="Garamond" w:hAnsi="Garamond" w:cs="Garamond"/>
                <w:i/>
                <w:color w:val="000000"/>
                <w:sz w:val="24"/>
                <w:szCs w:val="24"/>
              </w:rPr>
              <w:t>ii)     il nome dell'appaltatore e del subappaltatore, ove il destinatario finale dei fondi sia un'amministrazione aggiudicatrice ai sensi delle disposizioni nazionali o dell'Unione in materia di appalti pubblici;</w:t>
            </w:r>
          </w:p>
          <w:p w:rsidR="0057044B" w:rsidRDefault="00406B49">
            <w:pPr>
              <w:spacing w:after="0" w:line="240" w:lineRule="auto"/>
              <w:ind w:left="1133" w:hanging="425"/>
              <w:jc w:val="both"/>
              <w:rPr>
                <w:rFonts w:ascii="Garamond" w:eastAsia="Garamond" w:hAnsi="Garamond" w:cs="Garamond"/>
                <w:i/>
                <w:color w:val="000000"/>
                <w:sz w:val="24"/>
                <w:szCs w:val="24"/>
              </w:rPr>
            </w:pPr>
            <w:r>
              <w:rPr>
                <w:rFonts w:ascii="Garamond" w:eastAsia="Garamond" w:hAnsi="Garamond" w:cs="Garamond"/>
                <w:i/>
                <w:color w:val="000000"/>
                <w:sz w:val="24"/>
                <w:szCs w:val="24"/>
              </w:rPr>
              <w:t>iii)   il/i nome/i, il/i cognome/i e la data di nascita del/dei titolare/i effettivo/i del destinatario dei fondi o appaltatore, ai sensi dell'articolo 3, punto 6, della direttiva (UE) 2015/849 del Parlamento europeo e del Consiglio;</w:t>
            </w:r>
          </w:p>
          <w:p w:rsidR="0057044B" w:rsidRDefault="00406B49">
            <w:pPr>
              <w:spacing w:after="0" w:line="240" w:lineRule="auto"/>
              <w:ind w:left="1133" w:hanging="425"/>
              <w:jc w:val="both"/>
              <w:rPr>
                <w:rFonts w:ascii="Garamond" w:eastAsia="Garamond" w:hAnsi="Garamond" w:cs="Garamond"/>
                <w:i/>
                <w:color w:val="000000"/>
                <w:sz w:val="24"/>
                <w:szCs w:val="24"/>
              </w:rPr>
            </w:pPr>
            <w:r>
              <w:rPr>
                <w:rFonts w:ascii="Garamond" w:eastAsia="Garamond" w:hAnsi="Garamond" w:cs="Garamond"/>
                <w:i/>
                <w:color w:val="000000"/>
                <w:sz w:val="24"/>
                <w:szCs w:val="24"/>
              </w:rPr>
              <w:t>iv)</w:t>
            </w:r>
            <w:r>
              <w:rPr>
                <w:rFonts w:ascii="Garamond" w:eastAsia="Garamond" w:hAnsi="Garamond" w:cs="Garamond"/>
                <w:i/>
                <w:color w:val="000000"/>
                <w:sz w:val="24"/>
                <w:szCs w:val="24"/>
              </w:rPr>
              <w:tab/>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rsidR="0057044B" w:rsidRDefault="00406B49">
            <w:pPr>
              <w:spacing w:before="120" w:after="120" w:line="276" w:lineRule="auto"/>
              <w:ind w:right="320"/>
              <w:jc w:val="both"/>
              <w:rPr>
                <w:rFonts w:ascii="Garamond" w:eastAsia="Garamond" w:hAnsi="Garamond" w:cs="Garamond"/>
                <w:b/>
                <w:i/>
                <w:smallCaps/>
                <w:color w:val="000000"/>
              </w:rPr>
            </w:pPr>
            <w:r>
              <w:rPr>
                <w:rFonts w:ascii="Garamond" w:eastAsia="Garamond" w:hAnsi="Garamond" w:cs="Garamond"/>
                <w:b/>
                <w:i/>
                <w:smallCaps/>
                <w:color w:val="000000"/>
              </w:rPr>
              <w:t>Paragrafo 3)</w:t>
            </w:r>
          </w:p>
          <w:p w:rsidR="0057044B" w:rsidRDefault="00406B49">
            <w:pPr>
              <w:pBdr>
                <w:top w:val="nil"/>
                <w:left w:val="nil"/>
                <w:bottom w:val="nil"/>
                <w:right w:val="nil"/>
                <w:between w:val="nil"/>
              </w:pBdr>
              <w:spacing w:before="240" w:after="240" w:line="256" w:lineRule="auto"/>
              <w:ind w:left="340"/>
              <w:jc w:val="both"/>
              <w:rPr>
                <w:rFonts w:ascii="Garamond" w:eastAsia="Garamond" w:hAnsi="Garamond" w:cs="Garamond"/>
                <w:color w:val="FFFFFF"/>
                <w:sz w:val="24"/>
                <w:szCs w:val="24"/>
              </w:rPr>
            </w:pPr>
            <w:r>
              <w:rPr>
                <w:rFonts w:ascii="Garamond" w:eastAsia="Garamond" w:hAnsi="Garamond" w:cs="Garamond"/>
                <w:i/>
                <w:color w:val="000000"/>
                <w:sz w:val="24"/>
                <w:szCs w:val="24"/>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p>
        </w:tc>
      </w:tr>
    </w:tbl>
    <w:p w:rsidR="0057044B" w:rsidRDefault="00406B49">
      <w:pPr>
        <w:spacing w:before="240" w:after="240" w:line="276" w:lineRule="auto"/>
        <w:jc w:val="both"/>
        <w:rPr>
          <w:rFonts w:ascii="Times New Roman" w:eastAsia="Times New Roman" w:hAnsi="Times New Roman" w:cs="Times New Roman"/>
          <w:b/>
          <w:smallCaps/>
        </w:rPr>
      </w:pPr>
      <w:r>
        <w:rPr>
          <w:rFonts w:ascii="Times New Roman" w:eastAsia="Times New Roman" w:hAnsi="Times New Roman" w:cs="Times New Roman"/>
          <w:b/>
          <w:smallCaps/>
        </w:rPr>
        <w:t xml:space="preserve"> </w:t>
      </w:r>
    </w:p>
    <w:p w:rsidR="0057044B" w:rsidRDefault="00406B49">
      <w:pPr>
        <w:spacing w:before="240" w:after="240" w:line="276" w:lineRule="auto"/>
        <w:jc w:val="both"/>
        <w:rPr>
          <w:rFonts w:ascii="Times New Roman" w:eastAsia="Times New Roman" w:hAnsi="Times New Roman" w:cs="Times New Roman"/>
          <w:b/>
          <w:smallCaps/>
        </w:rPr>
      </w:pPr>
      <w:r>
        <w:rPr>
          <w:rFonts w:ascii="Times New Roman" w:eastAsia="Times New Roman" w:hAnsi="Times New Roman" w:cs="Times New Roman"/>
          <w:b/>
        </w:rPr>
        <w:t>5. Base giuridica del trattamento</w:t>
      </w:r>
    </w:p>
    <w:p w:rsidR="0057044B" w:rsidRDefault="00406B49">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La liceità del trattamento dei dati personali trova fondamento </w:t>
      </w:r>
    </w:p>
    <w:p w:rsidR="0057044B" w:rsidRDefault="00406B49" w:rsidP="00406B49">
      <w:pPr>
        <w:numPr>
          <w:ilvl w:val="0"/>
          <w:numId w:val="1"/>
        </w:numPr>
        <w:pBdr>
          <w:top w:val="nil"/>
          <w:left w:val="nil"/>
          <w:bottom w:val="nil"/>
          <w:right w:val="nil"/>
          <w:between w:val="nil"/>
        </w:pBdr>
        <w:spacing w:before="240"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w:t>
      </w:r>
    </w:p>
    <w:p w:rsidR="0057044B" w:rsidRDefault="00406B49" w:rsidP="00406B49">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ai sensi dell’articolo 6, comma 1, lettera c) del GDPR, nell’adempimento di un obbligo legale al quale è soggetta l’Amministrazione (es. in fase di gestione dell’attività istruttoria o in fase di comunicazione dei dati in adempimento ai generali obblighi di trasparenza); </w:t>
      </w:r>
    </w:p>
    <w:p w:rsidR="0057044B" w:rsidRDefault="00406B49" w:rsidP="00406B49">
      <w:pPr>
        <w:numPr>
          <w:ilvl w:val="0"/>
          <w:numId w:val="1"/>
        </w:numPr>
        <w:pBdr>
          <w:top w:val="nil"/>
          <w:left w:val="nil"/>
          <w:bottom w:val="nil"/>
          <w:right w:val="nil"/>
          <w:between w:val="nil"/>
        </w:pBdr>
        <w:spacing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rsidR="0057044B" w:rsidRDefault="0057044B">
      <w:pPr>
        <w:spacing w:before="240" w:after="0" w:line="276" w:lineRule="auto"/>
        <w:jc w:val="center"/>
        <w:rPr>
          <w:rFonts w:ascii="Garamond" w:eastAsia="Garamond" w:hAnsi="Garamond" w:cs="Garamond"/>
          <w:b/>
          <w:smallCaps/>
          <w:sz w:val="24"/>
          <w:szCs w:val="24"/>
        </w:rPr>
      </w:pPr>
    </w:p>
    <w:p w:rsidR="0057044B" w:rsidRDefault="00406B49">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Inoltre deve considerarsi il D. Lgs 196/2003 e </w:t>
      </w:r>
      <w:proofErr w:type="spellStart"/>
      <w:r>
        <w:rPr>
          <w:rFonts w:ascii="Times New Roman" w:eastAsia="Times New Roman" w:hAnsi="Times New Roman" w:cs="Times New Roman"/>
        </w:rPr>
        <w:t>s.m.i.</w:t>
      </w:r>
      <w:proofErr w:type="spellEnd"/>
      <w:r>
        <w:rPr>
          <w:rFonts w:ascii="Times New Roman" w:eastAsia="Times New Roman" w:hAnsi="Times New Roman" w:cs="Times New Roman"/>
        </w:rPr>
        <w:t>, art. 2-sexies - Trattamento di categorie particolari di dati personali necessario per motivi di interesse pubblico rilevante:</w:t>
      </w:r>
    </w:p>
    <w:p w:rsidR="0057044B" w:rsidRDefault="00406B49" w:rsidP="00406B49">
      <w:pPr>
        <w:numPr>
          <w:ilvl w:val="0"/>
          <w:numId w:val="4"/>
        </w:numPr>
        <w:pBdr>
          <w:top w:val="nil"/>
          <w:left w:val="nil"/>
          <w:bottom w:val="nil"/>
          <w:right w:val="nil"/>
          <w:between w:val="nil"/>
        </w:pBdr>
        <w:spacing w:before="240"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 considera rilevante l’interesse pubblico relativo a trattamenti effettuati da soggetti che svolgono compiti di interesse pubblico o connessi all’esercizio di pubblici poteri nelle seguenti materie:</w:t>
      </w:r>
    </w:p>
    <w:p w:rsidR="0057044B" w:rsidRDefault="00406B49">
      <w:pPr>
        <w:pBdr>
          <w:top w:val="nil"/>
          <w:left w:val="nil"/>
          <w:bottom w:val="nil"/>
          <w:right w:val="nil"/>
          <w:between w:val="nil"/>
        </w:pBdr>
        <w:spacing w:after="240" w:line="276" w:lineRule="auto"/>
        <w:ind w:left="720"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m) concessione, liquidazione, modifica e revoca di benefici economici, agevolazioni, elargizioni, altri emolumenti e abilitazioni.</w:t>
      </w:r>
    </w:p>
    <w:p w:rsidR="0057044B" w:rsidRDefault="00406B49">
      <w:pPr>
        <w:spacing w:before="120" w:after="120" w:line="276" w:lineRule="auto"/>
        <w:jc w:val="both"/>
        <w:rPr>
          <w:rFonts w:ascii="Times New Roman" w:eastAsia="Times New Roman" w:hAnsi="Times New Roman" w:cs="Times New Roman"/>
          <w:b/>
          <w:smallCaps/>
        </w:rPr>
      </w:pPr>
      <w:r>
        <w:rPr>
          <w:rFonts w:ascii="Times New Roman" w:eastAsia="Times New Roman" w:hAnsi="Times New Roman" w:cs="Times New Roman"/>
          <w:b/>
        </w:rPr>
        <w:t>Base giuridica per la pubblicazione e diffusione web</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Si illustrano di seguito alcuni obblighi di pubblicazione disciplinati dal d.lgs. 33/2013, tenendo conto delle principali modifiche e integrazioni introdotte dal d.lgs. 97/2016.</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Ai sensi dell’art 26 del D.L.</w:t>
      </w:r>
      <w:hyperlink r:id="rId12">
        <w:r>
          <w:rPr>
            <w:rFonts w:ascii="Times New Roman" w:eastAsia="Times New Roman" w:hAnsi="Times New Roman" w:cs="Times New Roman"/>
          </w:rPr>
          <w:t xml:space="preserve"> 14 marzo 2013, n. 33</w:t>
        </w:r>
      </w:hyperlink>
      <w:r>
        <w:rPr>
          <w:rFonts w:ascii="Times New Roman" w:eastAsia="Times New Roman" w:hAnsi="Times New Roman" w:cs="Times New Roman"/>
        </w:rPr>
        <w:t xml:space="preserve"> (come modificato dall’art. 23 del </w:t>
      </w:r>
      <w:proofErr w:type="spellStart"/>
      <w:r>
        <w:rPr>
          <w:rFonts w:ascii="Times New Roman" w:eastAsia="Times New Roman" w:hAnsi="Times New Roman" w:cs="Times New Roman"/>
        </w:rPr>
        <w:t>D.Lgs.</w:t>
      </w:r>
      <w:proofErr w:type="spellEnd"/>
      <w:r>
        <w:rPr>
          <w:rFonts w:ascii="Times New Roman" w:eastAsia="Times New Roman" w:hAnsi="Times New Roman" w:cs="Times New Roman"/>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Ai sensi del comma 3 del medesimo articolo, la pubblicazione costituisce condizione legale di efficacia dei provvedimenti e quindi deve avvenire tempestivamente e, comunque, prima della liquidazione delle somme oggetto del provvedimento.</w:t>
      </w:r>
    </w:p>
    <w:p w:rsidR="0057044B" w:rsidRDefault="00406B49">
      <w:pPr>
        <w:spacing w:before="120" w:after="120" w:line="276" w:lineRule="auto"/>
        <w:jc w:val="both"/>
        <w:rPr>
          <w:rFonts w:ascii="Garamond" w:eastAsia="Garamond" w:hAnsi="Garamond" w:cs="Garamond"/>
          <w:b/>
          <w:smallCaps/>
        </w:rPr>
      </w:pPr>
      <w:r>
        <w:rPr>
          <w:rFonts w:ascii="Garamond" w:eastAsia="Garamond" w:hAnsi="Garamond" w:cs="Garamond"/>
          <w:b/>
          <w:smallCaps/>
        </w:rPr>
        <w:t xml:space="preserve"> </w:t>
      </w:r>
    </w:p>
    <w:tbl>
      <w:tblPr>
        <w:tblStyle w:val="affffe"/>
        <w:tblW w:w="992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
        <w:gridCol w:w="9703"/>
      </w:tblGrid>
      <w:tr w:rsidR="0057044B">
        <w:trPr>
          <w:trHeight w:val="6995"/>
        </w:trPr>
        <w:tc>
          <w:tcPr>
            <w:tcW w:w="220" w:type="dxa"/>
            <w:tcBorders>
              <w:top w:val="nil"/>
              <w:left w:val="nil"/>
              <w:bottom w:val="nil"/>
              <w:right w:val="nil"/>
            </w:tcBorders>
            <w:shd w:val="clear" w:color="auto" w:fill="E7E6E6"/>
            <w:tcMar>
              <w:top w:w="100" w:type="dxa"/>
              <w:left w:w="100" w:type="dxa"/>
              <w:bottom w:w="100" w:type="dxa"/>
              <w:right w:w="100" w:type="dxa"/>
            </w:tcMar>
          </w:tcPr>
          <w:p w:rsidR="0057044B" w:rsidRDefault="0057044B">
            <w:pPr>
              <w:spacing w:after="0" w:line="240" w:lineRule="auto"/>
              <w:jc w:val="both"/>
              <w:rPr>
                <w:rFonts w:ascii="Garamond" w:eastAsia="Garamond" w:hAnsi="Garamond" w:cs="Garamond"/>
                <w:color w:val="000000"/>
                <w:sz w:val="24"/>
                <w:szCs w:val="24"/>
              </w:rPr>
            </w:pPr>
          </w:p>
        </w:tc>
        <w:tc>
          <w:tcPr>
            <w:tcW w:w="9703" w:type="dxa"/>
            <w:tcBorders>
              <w:top w:val="nil"/>
              <w:left w:val="nil"/>
              <w:bottom w:val="nil"/>
              <w:right w:val="nil"/>
            </w:tcBorders>
            <w:shd w:val="clear" w:color="auto" w:fill="E7E6E6"/>
            <w:tcMar>
              <w:top w:w="100" w:type="dxa"/>
              <w:left w:w="100" w:type="dxa"/>
              <w:bottom w:w="100" w:type="dxa"/>
              <w:right w:w="100" w:type="dxa"/>
            </w:tcMar>
          </w:tcPr>
          <w:p w:rsidR="0057044B" w:rsidRDefault="00406B49">
            <w:pPr>
              <w:spacing w:line="276" w:lineRule="auto"/>
              <w:ind w:right="285"/>
              <w:jc w:val="both"/>
              <w:rPr>
                <w:rFonts w:ascii="Times New Roman" w:eastAsia="Times New Roman" w:hAnsi="Times New Roman" w:cs="Times New Roman"/>
                <w:i/>
                <w:color w:val="000000"/>
              </w:rPr>
            </w:pPr>
            <w:r>
              <w:rPr>
                <w:rFonts w:ascii="Times New Roman" w:eastAsia="Times New Roman" w:hAnsi="Times New Roman" w:cs="Times New Roman"/>
                <w:i/>
                <w:color w:val="000000"/>
              </w:rPr>
              <w:t>Normativa di riferimento</w:t>
            </w:r>
          </w:p>
          <w:p w:rsidR="0057044B" w:rsidRDefault="00406B49">
            <w:pPr>
              <w:spacing w:after="0" w:line="240" w:lineRule="auto"/>
              <w:jc w:val="both"/>
              <w:rPr>
                <w:rFonts w:ascii="Garamond" w:eastAsia="Garamond" w:hAnsi="Garamond" w:cs="Garamond"/>
                <w:i/>
                <w:color w:val="000000"/>
                <w:sz w:val="24"/>
                <w:szCs w:val="24"/>
              </w:rPr>
            </w:pPr>
            <w:r>
              <w:rPr>
                <w:rFonts w:ascii="Garamond" w:eastAsia="Garamond" w:hAnsi="Garamond" w:cs="Garamond"/>
                <w:i/>
                <w:color w:val="000000"/>
                <w:sz w:val="24"/>
                <w:szCs w:val="24"/>
              </w:rPr>
              <w:t>D.L.</w:t>
            </w:r>
            <w:hyperlink r:id="rId13">
              <w:r>
                <w:rPr>
                  <w:rFonts w:ascii="Garamond" w:eastAsia="Garamond" w:hAnsi="Garamond" w:cs="Garamond"/>
                  <w:i/>
                  <w:color w:val="000000"/>
                  <w:sz w:val="24"/>
                  <w:szCs w:val="24"/>
                </w:rPr>
                <w:t xml:space="preserve"> 14 marzo 2013, n. 33</w:t>
              </w:r>
            </w:hyperlink>
            <w:r>
              <w:rPr>
                <w:rFonts w:ascii="Garamond" w:eastAsia="Garamond" w:hAnsi="Garamond" w:cs="Garamond"/>
                <w:i/>
                <w:color w:val="000000"/>
                <w:sz w:val="24"/>
                <w:szCs w:val="24"/>
              </w:rPr>
              <w:t>, art. 26 Obblighi di pubblicazione degli atti di concessione di sovvenzioni, contributi, sussidi e attribuzione di vantaggi economici a persone fisiche ed enti pubblici e privati (come modificato dall’art. 23 del D.lgs. n. 97/2016)</w:t>
            </w:r>
          </w:p>
          <w:p w:rsidR="0057044B" w:rsidRDefault="00406B49">
            <w:pPr>
              <w:spacing w:after="0" w:line="240" w:lineRule="auto"/>
              <w:jc w:val="both"/>
              <w:rPr>
                <w:rFonts w:ascii="Garamond" w:eastAsia="Garamond" w:hAnsi="Garamond" w:cs="Garamond"/>
                <w:i/>
                <w:color w:val="000000"/>
                <w:sz w:val="24"/>
                <w:szCs w:val="24"/>
              </w:rPr>
            </w:pPr>
            <w:r>
              <w:rPr>
                <w:rFonts w:ascii="Garamond" w:eastAsia="Garamond" w:hAnsi="Garamond" w:cs="Garamond"/>
                <w:i/>
                <w:color w:val="000000"/>
                <w:sz w:val="24"/>
                <w:szCs w:val="24"/>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rsidR="0057044B" w:rsidRDefault="00406B49">
            <w:pPr>
              <w:spacing w:after="0" w:line="240" w:lineRule="auto"/>
              <w:jc w:val="both"/>
              <w:rPr>
                <w:rFonts w:ascii="Garamond" w:eastAsia="Garamond" w:hAnsi="Garamond" w:cs="Garamond"/>
                <w:i/>
                <w:color w:val="000000"/>
                <w:sz w:val="24"/>
                <w:szCs w:val="24"/>
              </w:rPr>
            </w:pPr>
            <w:r>
              <w:rPr>
                <w:rFonts w:ascii="Garamond" w:eastAsia="Garamond" w:hAnsi="Garamond" w:cs="Garamond"/>
                <w:i/>
                <w:color w:val="000000"/>
                <w:sz w:val="24"/>
                <w:szCs w:val="24"/>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rsidR="0057044B" w:rsidRDefault="00406B49">
            <w:pPr>
              <w:spacing w:after="0" w:line="240" w:lineRule="auto"/>
              <w:jc w:val="both"/>
              <w:rPr>
                <w:rFonts w:ascii="Garamond" w:eastAsia="Garamond" w:hAnsi="Garamond" w:cs="Garamond"/>
                <w:i/>
                <w:color w:val="000000"/>
                <w:sz w:val="24"/>
                <w:szCs w:val="24"/>
              </w:rPr>
            </w:pPr>
            <w:r>
              <w:rPr>
                <w:rFonts w:ascii="Garamond" w:eastAsia="Garamond" w:hAnsi="Garamond" w:cs="Garamond"/>
                <w:i/>
                <w:color w:val="000000"/>
                <w:sz w:val="24"/>
                <w:szCs w:val="24"/>
              </w:rPr>
              <w:t>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rsidR="0057044B" w:rsidRDefault="00406B49">
            <w:pPr>
              <w:spacing w:after="0" w:line="240" w:lineRule="auto"/>
              <w:jc w:val="both"/>
              <w:rPr>
                <w:rFonts w:ascii="Garamond" w:eastAsia="Garamond" w:hAnsi="Garamond" w:cs="Garamond"/>
                <w:color w:val="000000"/>
                <w:sz w:val="24"/>
                <w:szCs w:val="24"/>
              </w:rPr>
            </w:pPr>
            <w:r>
              <w:rPr>
                <w:rFonts w:ascii="Garamond" w:eastAsia="Garamond" w:hAnsi="Garamond" w:cs="Garamond"/>
                <w:i/>
                <w:color w:val="000000"/>
                <w:sz w:val="24"/>
                <w:szCs w:val="24"/>
              </w:rPr>
              <w:t xml:space="preserve">4. </w:t>
            </w:r>
            <w:proofErr w:type="gramStart"/>
            <w:r>
              <w:rPr>
                <w:rFonts w:ascii="Garamond" w:eastAsia="Garamond" w:hAnsi="Garamond" w:cs="Garamond"/>
                <w:i/>
                <w:color w:val="000000"/>
                <w:sz w:val="24"/>
                <w:szCs w:val="24"/>
              </w:rPr>
              <w:t>E'</w:t>
            </w:r>
            <w:proofErr w:type="gramEnd"/>
            <w:r>
              <w:rPr>
                <w:rFonts w:ascii="Garamond" w:eastAsia="Garamond" w:hAnsi="Garamond" w:cs="Garamond"/>
                <w:i/>
                <w:color w:val="000000"/>
                <w:sz w:val="24"/>
                <w:szCs w:val="24"/>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Pr>
                <w:rFonts w:ascii="Garamond" w:eastAsia="Garamond" w:hAnsi="Garamond" w:cs="Garamond"/>
                <w:color w:val="000000"/>
                <w:sz w:val="24"/>
                <w:szCs w:val="24"/>
              </w:rPr>
              <w:t>.</w:t>
            </w:r>
          </w:p>
        </w:tc>
      </w:tr>
    </w:tbl>
    <w:p w:rsidR="0057044B" w:rsidRDefault="00406B49">
      <w:pPr>
        <w:spacing w:before="120" w:after="120" w:line="276" w:lineRule="auto"/>
        <w:jc w:val="both"/>
        <w:rPr>
          <w:rFonts w:ascii="Garamond" w:eastAsia="Garamond" w:hAnsi="Garamond" w:cs="Garamond"/>
          <w:b/>
          <w:smallCaps/>
        </w:rPr>
      </w:pPr>
      <w:r>
        <w:rPr>
          <w:rFonts w:ascii="Garamond" w:eastAsia="Garamond" w:hAnsi="Garamond" w:cs="Garamond"/>
          <w:b/>
          <w:smallCaps/>
        </w:rPr>
        <w:t xml:space="preserve"> </w:t>
      </w:r>
    </w:p>
    <w:p w:rsidR="0057044B" w:rsidRDefault="00406B49" w:rsidP="00406B49">
      <w:pPr>
        <w:numPr>
          <w:ilvl w:val="0"/>
          <w:numId w:val="6"/>
        </w:numPr>
        <w:pBdr>
          <w:top w:val="nil"/>
          <w:left w:val="nil"/>
          <w:bottom w:val="nil"/>
          <w:right w:val="nil"/>
          <w:between w:val="nil"/>
        </w:pBdr>
        <w:spacing w:before="240" w:after="24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Pubblicazione di dati personali ulteriori</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rsidR="0057044B" w:rsidRDefault="00406B49" w:rsidP="00406B49">
      <w:pPr>
        <w:numPr>
          <w:ilvl w:val="0"/>
          <w:numId w:val="6"/>
        </w:numPr>
        <w:pBdr>
          <w:top w:val="nil"/>
          <w:left w:val="nil"/>
          <w:bottom w:val="nil"/>
          <w:right w:val="nil"/>
          <w:between w:val="nil"/>
        </w:pBdr>
        <w:spacing w:before="240" w:after="24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Limiti al “riutilizzo” dei documenti pubblicati</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In ottemperanza a quanto disposto dal Garante per la protezione dei dati personali, i soggetti pubblici inseriscono nella sezione "Amministrazione trasparente" un </w:t>
      </w:r>
      <w:proofErr w:type="spellStart"/>
      <w:r>
        <w:rPr>
          <w:rFonts w:ascii="Times New Roman" w:eastAsia="Times New Roman" w:hAnsi="Times New Roman" w:cs="Times New Roman"/>
        </w:rPr>
        <w:t>alert</w:t>
      </w:r>
      <w:proofErr w:type="spellEnd"/>
      <w:r>
        <w:rPr>
          <w:rFonts w:ascii="Times New Roman" w:eastAsia="Times New Roman" w:hAnsi="Times New Roman" w:cs="Times New Roman"/>
        </w:rPr>
        <w:t xml:space="preserve">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rsidR="0057044B" w:rsidRDefault="0057044B">
      <w:pPr>
        <w:pBdr>
          <w:top w:val="nil"/>
          <w:left w:val="nil"/>
          <w:bottom w:val="nil"/>
          <w:right w:val="nil"/>
          <w:between w:val="nil"/>
        </w:pBdr>
        <w:spacing w:before="240" w:after="240" w:line="276" w:lineRule="auto"/>
        <w:jc w:val="both"/>
        <w:rPr>
          <w:rFonts w:ascii="Times New Roman" w:eastAsia="Times New Roman" w:hAnsi="Times New Roman" w:cs="Times New Roman"/>
        </w:rPr>
      </w:pPr>
    </w:p>
    <w:p w:rsidR="0057044B" w:rsidRDefault="00406B49">
      <w:pPr>
        <w:spacing w:before="240" w:after="0" w:line="360" w:lineRule="auto"/>
        <w:jc w:val="both"/>
        <w:rPr>
          <w:rFonts w:ascii="Times New Roman" w:eastAsia="Times New Roman" w:hAnsi="Times New Roman" w:cs="Times New Roman"/>
          <w:b/>
        </w:rPr>
      </w:pPr>
      <w:r>
        <w:rPr>
          <w:rFonts w:ascii="Times New Roman" w:eastAsia="Times New Roman" w:hAnsi="Times New Roman" w:cs="Times New Roman"/>
          <w:b/>
          <w:smallCaps/>
        </w:rPr>
        <w:t xml:space="preserve"> </w:t>
      </w:r>
      <w:r>
        <w:rPr>
          <w:rFonts w:ascii="Times New Roman" w:eastAsia="Times New Roman" w:hAnsi="Times New Roman" w:cs="Times New Roman"/>
          <w:b/>
        </w:rPr>
        <w:t>7. Tempo di conservazione dei dati</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57044B" w:rsidRDefault="00406B49">
      <w:pPr>
        <w:pBdr>
          <w:top w:val="nil"/>
          <w:left w:val="nil"/>
          <w:bottom w:val="nil"/>
          <w:right w:val="nil"/>
          <w:between w:val="nil"/>
        </w:pBdr>
        <w:spacing w:before="240" w:after="0" w:line="360" w:lineRule="auto"/>
        <w:jc w:val="both"/>
        <w:rPr>
          <w:rFonts w:ascii="Times New Roman" w:eastAsia="Times New Roman" w:hAnsi="Times New Roman" w:cs="Times New Roman"/>
          <w:b/>
        </w:rPr>
      </w:pPr>
      <w:r>
        <w:rPr>
          <w:rFonts w:ascii="Times New Roman" w:eastAsia="Times New Roman" w:hAnsi="Times New Roman" w:cs="Times New Roman"/>
          <w:b/>
        </w:rPr>
        <w:t>8. Luogo del Trattamento</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 dati vengono trattati ed archiviati presso la sede del CED della Direzione ICT e Agenda Digitale sita in Centro Vega - Palazzo Lybra, Via Pacinotti 4 - 30175 Marghera - Tel. 041 279.2202-2204 - e-mail: ictagendadigitale@regione.veneto.it - PEC: </w:t>
      </w:r>
      <w:proofErr w:type="gramStart"/>
      <w:r>
        <w:rPr>
          <w:rFonts w:ascii="Times New Roman" w:eastAsia="Times New Roman" w:hAnsi="Times New Roman" w:cs="Times New Roman"/>
        </w:rPr>
        <w:t>ictagendadigitale@pec.regione.veneto.it )</w:t>
      </w:r>
      <w:proofErr w:type="gramEnd"/>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Specifiche misure di sicurezza sono osservate per prevenire la perdita dei dati, usi illeciti o non corretti e accessi non autorizzati.</w:t>
      </w:r>
    </w:p>
    <w:p w:rsidR="0057044B" w:rsidRDefault="00406B49">
      <w:pPr>
        <w:spacing w:before="240" w:after="120" w:line="276" w:lineRule="auto"/>
        <w:jc w:val="both"/>
        <w:rPr>
          <w:rFonts w:ascii="Times New Roman" w:eastAsia="Times New Roman" w:hAnsi="Times New Roman" w:cs="Times New Roman"/>
          <w:b/>
          <w:smallCaps/>
          <w:highlight w:val="white"/>
        </w:rPr>
      </w:pPr>
      <w:r>
        <w:rPr>
          <w:rFonts w:ascii="Times New Roman" w:eastAsia="Times New Roman" w:hAnsi="Times New Roman" w:cs="Times New Roman"/>
          <w:b/>
          <w:smallCaps/>
        </w:rPr>
        <w:t xml:space="preserve"> </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Dichiarazione di presa visione dell’informativa sul conferimento e trattamento dei dati personali</w:t>
      </w:r>
    </w:p>
    <w:p w:rsidR="0057044B" w:rsidRDefault="00406B49">
      <w:pPr>
        <w:spacing w:before="240" w:after="120" w:line="276" w:lineRule="auto"/>
        <w:jc w:val="both"/>
        <w:rPr>
          <w:rFonts w:ascii="Times New Roman" w:eastAsia="Times New Roman" w:hAnsi="Times New Roman" w:cs="Times New Roman"/>
          <w:b/>
          <w:smallCaps/>
          <w:highlight w:val="white"/>
        </w:rPr>
      </w:pPr>
      <w:r>
        <w:rPr>
          <w:rFonts w:ascii="Times New Roman" w:eastAsia="Times New Roman" w:hAnsi="Times New Roman" w:cs="Times New Roman"/>
          <w:b/>
          <w:smallCaps/>
          <w:highlight w:val="white"/>
        </w:rPr>
        <w:t xml:space="preserve"> </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rsidR="0057044B" w:rsidRDefault="00406B49">
      <w:pPr>
        <w:pBdr>
          <w:top w:val="nil"/>
          <w:left w:val="nil"/>
          <w:bottom w:val="nil"/>
          <w:right w:val="nil"/>
          <w:between w:val="nil"/>
        </w:pBdr>
        <w:spacing w:before="240" w:after="240" w:line="276" w:lineRule="auto"/>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DICHIARA</w:t>
      </w:r>
    </w:p>
    <w:p w:rsidR="0057044B" w:rsidRDefault="00406B49">
      <w:pPr>
        <w:pBdr>
          <w:top w:val="nil"/>
          <w:left w:val="nil"/>
          <w:bottom w:val="nil"/>
          <w:right w:val="nil"/>
          <w:between w:val="nil"/>
        </w:pBdr>
        <w:spacing w:before="240" w:after="240" w:line="276"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di essere stato adeguatamente informato riguardo al trattamento dei propri dati personali per i fini indicati nella stessa.</w:t>
      </w:r>
    </w:p>
    <w:p w:rsidR="0057044B" w:rsidRDefault="00406B49">
      <w:pPr>
        <w:spacing w:line="276" w:lineRule="auto"/>
        <w:ind w:right="285"/>
        <w:jc w:val="both"/>
        <w:rPr>
          <w:rFonts w:ascii="Times New Roman" w:eastAsia="Times New Roman" w:hAnsi="Times New Roman" w:cs="Times New Roman"/>
        </w:rPr>
      </w:pPr>
      <w:r>
        <w:rPr>
          <w:rFonts w:ascii="Times New Roman" w:eastAsia="Times New Roman" w:hAnsi="Times New Roman" w:cs="Times New Roman"/>
        </w:rPr>
        <w:t xml:space="preserve">Luogo e data ________________________ </w:t>
      </w:r>
    </w:p>
    <w:p w:rsidR="0057044B" w:rsidRDefault="00406B49">
      <w:pPr>
        <w:pBdr>
          <w:top w:val="nil"/>
          <w:left w:val="nil"/>
          <w:bottom w:val="nil"/>
          <w:right w:val="nil"/>
          <w:between w:val="nil"/>
        </w:pBdr>
        <w:spacing w:before="240" w:after="240" w:line="276" w:lineRule="auto"/>
        <w:rPr>
          <w:rFonts w:ascii="Times New Roman" w:eastAsia="Times New Roman" w:hAnsi="Times New Roman" w:cs="Times New Roman"/>
          <w:highlight w:val="white"/>
        </w:rPr>
      </w:pPr>
      <w:bookmarkStart w:id="3" w:name="_heading=h.8ocg47fq5uti" w:colFirst="0" w:colLast="0"/>
      <w:bookmarkEnd w:id="3"/>
      <w:r>
        <w:rPr>
          <w:rFonts w:ascii="Times New Roman" w:eastAsia="Times New Roman" w:hAnsi="Times New Roman" w:cs="Times New Roman"/>
          <w:highlight w:val="white"/>
        </w:rPr>
        <w:t xml:space="preserve">Firma del dichiarante </w:t>
      </w:r>
      <w:r>
        <w:rPr>
          <w:rFonts w:ascii="Times New Roman" w:eastAsia="Times New Roman" w:hAnsi="Times New Roman" w:cs="Times New Roman"/>
          <w:b/>
          <w:smallCaps/>
          <w:highlight w:val="white"/>
        </w:rPr>
        <w:t>____________________</w:t>
      </w:r>
      <w:r>
        <w:rPr>
          <w:rFonts w:ascii="Times New Roman" w:eastAsia="Times New Roman" w:hAnsi="Times New Roman" w:cs="Times New Roman"/>
        </w:rPr>
        <w:t xml:space="preserve">      </w:t>
      </w:r>
    </w:p>
    <w:p w:rsidR="0057044B" w:rsidRDefault="0057044B">
      <w:pPr>
        <w:spacing w:line="276" w:lineRule="auto"/>
        <w:ind w:right="285"/>
        <w:jc w:val="both"/>
        <w:rPr>
          <w:color w:val="222222"/>
          <w:highlight w:val="white"/>
        </w:rPr>
      </w:pPr>
    </w:p>
    <w:p w:rsidR="0057044B" w:rsidRDefault="00406B49" w:rsidP="00406B49">
      <w:pPr>
        <w:numPr>
          <w:ilvl w:val="0"/>
          <w:numId w:val="5"/>
        </w:numPr>
        <w:pBdr>
          <w:top w:val="nil"/>
          <w:left w:val="nil"/>
          <w:bottom w:val="nil"/>
          <w:right w:val="nil"/>
          <w:between w:val="nil"/>
        </w:pBdr>
        <w:spacing w:line="276" w:lineRule="auto"/>
        <w:ind w:right="285"/>
        <w:jc w:val="both"/>
        <w:rPr>
          <w:rFonts w:ascii="Times New Roman" w:eastAsia="Times New Roman" w:hAnsi="Times New Roman" w:cs="Times New Roman"/>
          <w:color w:val="222222"/>
          <w:highlight w:val="white"/>
        </w:rPr>
      </w:pPr>
      <w:bookmarkStart w:id="4" w:name="_heading=h.1c1lvlb" w:colFirst="0" w:colLast="0"/>
      <w:bookmarkEnd w:id="4"/>
      <w:r>
        <w:rPr>
          <w:rFonts w:ascii="Times New Roman" w:eastAsia="Times New Roman" w:hAnsi="Times New Roman" w:cs="Times New Roman"/>
          <w:color w:val="222222"/>
          <w:highlight w:val="white"/>
        </w:rPr>
        <w:t>Documento sottoscritto digitalmente nei formati previsti dal Codice dell'Amministrazione Digitale</w:t>
      </w:r>
    </w:p>
    <w:p w:rsidR="0057044B" w:rsidRDefault="00406B49">
      <w:pPr>
        <w:spacing w:line="276" w:lineRule="auto"/>
        <w:ind w:left="360" w:right="285"/>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o, in alternativa</w:t>
      </w:r>
    </w:p>
    <w:p w:rsidR="0057044B" w:rsidRDefault="00406B49" w:rsidP="00406B49">
      <w:pPr>
        <w:numPr>
          <w:ilvl w:val="0"/>
          <w:numId w:val="5"/>
        </w:numPr>
        <w:pBdr>
          <w:top w:val="nil"/>
          <w:left w:val="nil"/>
          <w:bottom w:val="nil"/>
          <w:right w:val="nil"/>
          <w:between w:val="nil"/>
        </w:pBdr>
        <w:spacing w:line="276" w:lineRule="auto"/>
        <w:ind w:right="285"/>
        <w:jc w:val="both"/>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Documento scansionato, completo di timbro e firma autografa (</w:t>
      </w:r>
      <w:r>
        <w:rPr>
          <w:rFonts w:ascii="Times New Roman" w:eastAsia="Times New Roman" w:hAnsi="Times New Roman" w:cs="Times New Roman"/>
          <w:color w:val="000000"/>
        </w:rPr>
        <w:t xml:space="preserve">allegare copia fotostatica del documento di identità, in corso di validità [art. 38 del D.P.R. 445/2000 e </w:t>
      </w:r>
      <w:proofErr w:type="spellStart"/>
      <w:r>
        <w:rPr>
          <w:rFonts w:ascii="Times New Roman" w:eastAsia="Times New Roman" w:hAnsi="Times New Roman" w:cs="Times New Roman"/>
          <w:color w:val="000000"/>
        </w:rPr>
        <w:t>s.mm.ii</w:t>
      </w:r>
      <w:proofErr w:type="spellEnd"/>
      <w:r>
        <w:rPr>
          <w:rFonts w:ascii="Times New Roman" w:eastAsia="Times New Roman" w:hAnsi="Times New Roman" w:cs="Times New Roman"/>
          <w:color w:val="000000"/>
        </w:rPr>
        <w:t>])</w:t>
      </w:r>
    </w:p>
    <w:p w:rsidR="0057044B" w:rsidRPr="006C0133" w:rsidRDefault="0057044B" w:rsidP="006C0133">
      <w:pPr>
        <w:spacing w:line="276" w:lineRule="auto"/>
        <w:rPr>
          <w:rFonts w:ascii="Times New Roman" w:eastAsia="Times New Roman" w:hAnsi="Times New Roman" w:cs="Times New Roman"/>
          <w:smallCaps/>
        </w:rPr>
      </w:pPr>
      <w:bookmarkStart w:id="5" w:name="_heading=h.3dhxtu8rm97d" w:colFirst="0" w:colLast="0"/>
      <w:bookmarkEnd w:id="5"/>
    </w:p>
    <w:sectPr w:rsidR="0057044B" w:rsidRPr="006C0133">
      <w:footerReference w:type="default" r:id="rId14"/>
      <w:pgSz w:w="11906" w:h="16838"/>
      <w:pgMar w:top="426" w:right="707" w:bottom="142" w:left="1134" w:header="7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AC8" w:rsidRDefault="00DB1AC8">
      <w:pPr>
        <w:spacing w:after="0" w:line="240" w:lineRule="auto"/>
      </w:pPr>
      <w:r>
        <w:separator/>
      </w:r>
    </w:p>
  </w:endnote>
  <w:endnote w:type="continuationSeparator" w:id="0">
    <w:p w:rsidR="00DB1AC8" w:rsidRDefault="00DB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44B" w:rsidRDefault="0057044B">
    <w:pPr>
      <w:pBdr>
        <w:top w:val="nil"/>
        <w:left w:val="nil"/>
        <w:bottom w:val="nil"/>
        <w:right w:val="nil"/>
        <w:between w:val="nil"/>
      </w:pBdr>
      <w:tabs>
        <w:tab w:val="center" w:pos="4819"/>
        <w:tab w:val="right" w:pos="9638"/>
      </w:tabs>
      <w:spacing w:after="0" w:line="240" w:lineRule="auto"/>
      <w:jc w:val="right"/>
      <w:rPr>
        <w:color w:val="000000"/>
      </w:rPr>
    </w:pPr>
  </w:p>
  <w:p w:rsidR="0057044B" w:rsidRDefault="0057044B">
    <w:pPr>
      <w:pBdr>
        <w:top w:val="nil"/>
        <w:left w:val="nil"/>
        <w:bottom w:val="nil"/>
        <w:right w:val="nil"/>
        <w:between w:val="nil"/>
      </w:pBdr>
      <w:tabs>
        <w:tab w:val="center" w:pos="4819"/>
        <w:tab w:val="right" w:pos="9638"/>
      </w:tabs>
      <w:spacing w:line="240" w:lineRule="auto"/>
      <w:ind w:hanging="2"/>
      <w:jc w:val="center"/>
      <w:rPr>
        <w:color w:val="000000"/>
      </w:rPr>
    </w:pPr>
  </w:p>
  <w:p w:rsidR="0057044B" w:rsidRDefault="0057044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AC8" w:rsidRDefault="00DB1AC8">
      <w:pPr>
        <w:spacing w:after="0" w:line="240" w:lineRule="auto"/>
      </w:pPr>
      <w:r>
        <w:separator/>
      </w:r>
    </w:p>
  </w:footnote>
  <w:footnote w:type="continuationSeparator" w:id="0">
    <w:p w:rsidR="00DB1AC8" w:rsidRDefault="00DB1AC8">
      <w:pPr>
        <w:spacing w:after="0" w:line="240" w:lineRule="auto"/>
      </w:pPr>
      <w:r>
        <w:continuationSeparator/>
      </w:r>
    </w:p>
  </w:footnote>
  <w:footnote w:id="1">
    <w:p w:rsidR="0057044B" w:rsidRDefault="00406B49">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34"/>
          <w:szCs w:val="34"/>
          <w:vertAlign w:val="superscript"/>
        </w:rPr>
        <w:t xml:space="preserve"> </w:t>
      </w:r>
      <w:r>
        <w:rPr>
          <w:rFonts w:ascii="Times New Roman" w:eastAsia="Times New Roman" w:hAnsi="Times New Roman" w:cs="Times New Roman"/>
          <w:sz w:val="16"/>
          <w:szCs w:val="16"/>
        </w:rPr>
        <w:t>Il Titolare del trattamento è "</w:t>
      </w:r>
      <w:r>
        <w:rPr>
          <w:rFonts w:ascii="Times New Roman" w:eastAsia="Times New Roman" w:hAnsi="Times New Roman" w:cs="Times New Roman"/>
          <w:i/>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sz w:val="16"/>
          <w:szCs w:val="16"/>
        </w:rPr>
        <w:t>finalità</w:t>
      </w:r>
      <w:r>
        <w:rPr>
          <w:rFonts w:ascii="Times New Roman" w:eastAsia="Times New Roman" w:hAnsi="Times New Roman" w:cs="Times New Roman"/>
          <w:i/>
          <w:sz w:val="16"/>
          <w:szCs w:val="16"/>
        </w:rPr>
        <w:t xml:space="preserve"> e i </w:t>
      </w:r>
      <w:r>
        <w:rPr>
          <w:rFonts w:ascii="Times New Roman" w:eastAsia="Times New Roman" w:hAnsi="Times New Roman" w:cs="Times New Roman"/>
          <w:sz w:val="16"/>
          <w:szCs w:val="16"/>
        </w:rPr>
        <w:t>mezzi</w:t>
      </w:r>
      <w:r>
        <w:rPr>
          <w:rFonts w:ascii="Times New Roman" w:eastAsia="Times New Roman" w:hAnsi="Times New Roman" w:cs="Times New Roman"/>
          <w:i/>
          <w:sz w:val="16"/>
          <w:szCs w:val="16"/>
        </w:rPr>
        <w:t xml:space="preserve"> del trattamento di dati personali</w:t>
      </w:r>
      <w:r>
        <w:rPr>
          <w:rFonts w:ascii="Times New Roman" w:eastAsia="Times New Roman" w:hAnsi="Times New Roman" w:cs="Times New Roman"/>
          <w:sz w:val="16"/>
          <w:szCs w:val="16"/>
        </w:rPr>
        <w:t>" (art. 4. par. 1, n. 7) Regolamento Generale sulla Protezione dei Dati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07EC"/>
    <w:multiLevelType w:val="multilevel"/>
    <w:tmpl w:val="2770622C"/>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752711F"/>
    <w:multiLevelType w:val="multilevel"/>
    <w:tmpl w:val="03FC28C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824394"/>
    <w:multiLevelType w:val="multilevel"/>
    <w:tmpl w:val="7790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481756"/>
    <w:multiLevelType w:val="multilevel"/>
    <w:tmpl w:val="E4D8D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290877"/>
    <w:multiLevelType w:val="multilevel"/>
    <w:tmpl w:val="DB60938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9D3F05"/>
    <w:multiLevelType w:val="multilevel"/>
    <w:tmpl w:val="CB80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4B"/>
    <w:rsid w:val="002445C9"/>
    <w:rsid w:val="00406B49"/>
    <w:rsid w:val="0057044B"/>
    <w:rsid w:val="006C0133"/>
    <w:rsid w:val="00DB1AC8"/>
    <w:rsid w:val="00F711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1EB4"/>
  <w15:docId w15:val="{FF94926B-7341-407F-B7CC-CD2E87D9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362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7004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004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B362B1"/>
    <w:rPr>
      <w:rFonts w:asciiTheme="majorHAnsi" w:eastAsiaTheme="majorEastAsia" w:hAnsiTheme="majorHAnsi" w:cstheme="majorBidi"/>
      <w:color w:val="2F5496" w:themeColor="accent1" w:themeShade="BF"/>
      <w:sz w:val="32"/>
      <w:szCs w:val="32"/>
    </w:rPr>
  </w:style>
  <w:style w:type="character" w:styleId="Rimandocommento">
    <w:name w:val="annotation reference"/>
    <w:basedOn w:val="Carpredefinitoparagrafo"/>
    <w:uiPriority w:val="99"/>
    <w:semiHidden/>
    <w:unhideWhenUsed/>
    <w:rsid w:val="00B362B1"/>
    <w:rPr>
      <w:sz w:val="16"/>
      <w:szCs w:val="16"/>
    </w:rPr>
  </w:style>
  <w:style w:type="paragraph" w:styleId="Testocommento">
    <w:name w:val="annotation text"/>
    <w:basedOn w:val="Normale"/>
    <w:link w:val="TestocommentoCarattere"/>
    <w:uiPriority w:val="99"/>
    <w:unhideWhenUsed/>
    <w:rsid w:val="00B362B1"/>
    <w:pPr>
      <w:spacing w:line="240" w:lineRule="auto"/>
    </w:pPr>
    <w:rPr>
      <w:sz w:val="20"/>
      <w:szCs w:val="20"/>
    </w:rPr>
  </w:style>
  <w:style w:type="character" w:customStyle="1" w:styleId="TestocommentoCarattere">
    <w:name w:val="Testo commento Carattere"/>
    <w:basedOn w:val="Carpredefinitoparagrafo"/>
    <w:link w:val="Testocommento"/>
    <w:uiPriority w:val="99"/>
    <w:rsid w:val="00B362B1"/>
    <w:rPr>
      <w:sz w:val="20"/>
      <w:szCs w:val="20"/>
    </w:rPr>
  </w:style>
  <w:style w:type="paragraph" w:styleId="Soggettocommento">
    <w:name w:val="annotation subject"/>
    <w:basedOn w:val="Testocommento"/>
    <w:next w:val="Testocommento"/>
    <w:link w:val="SoggettocommentoCarattere"/>
    <w:uiPriority w:val="99"/>
    <w:semiHidden/>
    <w:unhideWhenUsed/>
    <w:rsid w:val="00B362B1"/>
    <w:rPr>
      <w:b/>
      <w:bCs/>
    </w:rPr>
  </w:style>
  <w:style w:type="character" w:customStyle="1" w:styleId="SoggettocommentoCarattere">
    <w:name w:val="Soggetto commento Carattere"/>
    <w:basedOn w:val="TestocommentoCarattere"/>
    <w:link w:val="Soggettocommento"/>
    <w:uiPriority w:val="99"/>
    <w:semiHidden/>
    <w:rsid w:val="00B362B1"/>
    <w:rPr>
      <w:b/>
      <w:bCs/>
      <w:sz w:val="20"/>
      <w:szCs w:val="20"/>
    </w:rPr>
  </w:style>
  <w:style w:type="paragraph" w:styleId="Paragrafoelenco">
    <w:name w:val="List Paragraph"/>
    <w:aliases w:val="Table of contents numbered,Elenco num ARGEA,body,Odsek zoznamu2,List Paragraph1,Bullet List,FooterText,lp1,lp11,List Paragraph11,Use Case List Paragraph,numbered,Paragraphe de liste1,Bulletr List Paragraph,列出段落,列出段落1,Bullet 1"/>
    <w:basedOn w:val="Normale"/>
    <w:link w:val="ParagrafoelencoCarattere"/>
    <w:uiPriority w:val="1"/>
    <w:qFormat/>
    <w:rsid w:val="00B362B1"/>
    <w:pPr>
      <w:ind w:left="720"/>
      <w:contextualSpacing/>
    </w:pPr>
  </w:style>
  <w:style w:type="character" w:customStyle="1" w:styleId="Titolo3Carattere">
    <w:name w:val="Titolo 3 Carattere"/>
    <w:basedOn w:val="Carpredefinitoparagrafo"/>
    <w:link w:val="Titolo3"/>
    <w:uiPriority w:val="9"/>
    <w:rsid w:val="007004A1"/>
    <w:rPr>
      <w:rFonts w:asciiTheme="majorHAnsi" w:eastAsiaTheme="majorEastAsia" w:hAnsiTheme="majorHAnsi" w:cstheme="majorBidi"/>
      <w:color w:val="1F3763" w:themeColor="accent1" w:themeShade="7F"/>
      <w:sz w:val="24"/>
      <w:szCs w:val="24"/>
    </w:rPr>
  </w:style>
  <w:style w:type="character" w:customStyle="1" w:styleId="Titolo2Carattere">
    <w:name w:val="Titolo 2 Carattere"/>
    <w:basedOn w:val="Carpredefinitoparagrafo"/>
    <w:link w:val="Titolo2"/>
    <w:uiPriority w:val="9"/>
    <w:rsid w:val="007004A1"/>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iPriority w:val="99"/>
    <w:semiHidden/>
    <w:unhideWhenUsed/>
    <w:rsid w:val="0001243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12435"/>
    <w:rPr>
      <w:sz w:val="20"/>
      <w:szCs w:val="20"/>
    </w:rPr>
  </w:style>
  <w:style w:type="character" w:styleId="Rimandonotaapidipagina">
    <w:name w:val="footnote reference"/>
    <w:basedOn w:val="Carpredefinitoparagrafo"/>
    <w:uiPriority w:val="99"/>
    <w:semiHidden/>
    <w:unhideWhenUsed/>
    <w:rsid w:val="00012435"/>
    <w:rPr>
      <w:vertAlign w:val="superscript"/>
    </w:rPr>
  </w:style>
  <w:style w:type="paragraph" w:styleId="Titolosommario">
    <w:name w:val="TOC Heading"/>
    <w:basedOn w:val="Titolo1"/>
    <w:next w:val="Normale"/>
    <w:uiPriority w:val="39"/>
    <w:unhideWhenUsed/>
    <w:qFormat/>
    <w:rsid w:val="00426139"/>
    <w:pPr>
      <w:outlineLvl w:val="9"/>
    </w:pPr>
  </w:style>
  <w:style w:type="paragraph" w:styleId="Sommario1">
    <w:name w:val="toc 1"/>
    <w:basedOn w:val="Normale"/>
    <w:next w:val="Normale"/>
    <w:autoRedefine/>
    <w:uiPriority w:val="39"/>
    <w:unhideWhenUsed/>
    <w:rsid w:val="00426139"/>
    <w:pPr>
      <w:spacing w:after="100"/>
    </w:pPr>
  </w:style>
  <w:style w:type="paragraph" w:styleId="Sommario2">
    <w:name w:val="toc 2"/>
    <w:basedOn w:val="Normale"/>
    <w:next w:val="Normale"/>
    <w:autoRedefine/>
    <w:uiPriority w:val="39"/>
    <w:unhideWhenUsed/>
    <w:rsid w:val="00426139"/>
    <w:pPr>
      <w:spacing w:after="100"/>
      <w:ind w:left="220"/>
    </w:pPr>
  </w:style>
  <w:style w:type="paragraph" w:styleId="Sommario3">
    <w:name w:val="toc 3"/>
    <w:basedOn w:val="Normale"/>
    <w:next w:val="Normale"/>
    <w:autoRedefine/>
    <w:uiPriority w:val="39"/>
    <w:unhideWhenUsed/>
    <w:rsid w:val="00426139"/>
    <w:pPr>
      <w:spacing w:after="100"/>
      <w:ind w:left="440"/>
    </w:pPr>
  </w:style>
  <w:style w:type="character" w:styleId="Collegamentoipertestuale">
    <w:name w:val="Hyperlink"/>
    <w:basedOn w:val="Carpredefinitoparagrafo"/>
    <w:uiPriority w:val="99"/>
    <w:unhideWhenUsed/>
    <w:rsid w:val="00426139"/>
    <w:rPr>
      <w:color w:val="0563C1" w:themeColor="hyperlink"/>
      <w:u w:val="single"/>
    </w:rPr>
  </w:style>
  <w:style w:type="paragraph" w:styleId="Intestazione">
    <w:name w:val="header"/>
    <w:basedOn w:val="Normale"/>
    <w:link w:val="IntestazioneCarattere"/>
    <w:uiPriority w:val="99"/>
    <w:unhideWhenUsed/>
    <w:rsid w:val="004261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6139"/>
  </w:style>
  <w:style w:type="paragraph" w:styleId="Pidipagina">
    <w:name w:val="footer"/>
    <w:basedOn w:val="Normale"/>
    <w:link w:val="PidipaginaCarattere"/>
    <w:uiPriority w:val="99"/>
    <w:unhideWhenUsed/>
    <w:rsid w:val="004261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6139"/>
  </w:style>
  <w:style w:type="paragraph" w:styleId="Nessunaspaziatura">
    <w:name w:val="No Spacing"/>
    <w:uiPriority w:val="1"/>
    <w:qFormat/>
    <w:rsid w:val="006302EF"/>
    <w:pPr>
      <w:spacing w:after="0" w:line="240" w:lineRule="auto"/>
    </w:pPr>
  </w:style>
  <w:style w:type="paragraph" w:styleId="Sommario4">
    <w:name w:val="toc 4"/>
    <w:basedOn w:val="Normale"/>
    <w:next w:val="Normale"/>
    <w:autoRedefine/>
    <w:uiPriority w:val="39"/>
    <w:unhideWhenUsed/>
    <w:rsid w:val="00774967"/>
    <w:pPr>
      <w:spacing w:after="100"/>
      <w:ind w:left="660"/>
    </w:pPr>
    <w:rPr>
      <w:rFonts w:eastAsiaTheme="minorEastAsia"/>
    </w:rPr>
  </w:style>
  <w:style w:type="paragraph" w:styleId="Sommario5">
    <w:name w:val="toc 5"/>
    <w:basedOn w:val="Normale"/>
    <w:next w:val="Normale"/>
    <w:autoRedefine/>
    <w:uiPriority w:val="39"/>
    <w:unhideWhenUsed/>
    <w:rsid w:val="00774967"/>
    <w:pPr>
      <w:spacing w:after="100"/>
      <w:ind w:left="880"/>
    </w:pPr>
    <w:rPr>
      <w:rFonts w:eastAsiaTheme="minorEastAsia"/>
    </w:rPr>
  </w:style>
  <w:style w:type="paragraph" w:styleId="Sommario6">
    <w:name w:val="toc 6"/>
    <w:basedOn w:val="Normale"/>
    <w:next w:val="Normale"/>
    <w:autoRedefine/>
    <w:uiPriority w:val="39"/>
    <w:unhideWhenUsed/>
    <w:rsid w:val="00774967"/>
    <w:pPr>
      <w:spacing w:after="100"/>
      <w:ind w:left="1100"/>
    </w:pPr>
    <w:rPr>
      <w:rFonts w:eastAsiaTheme="minorEastAsia"/>
    </w:rPr>
  </w:style>
  <w:style w:type="paragraph" w:styleId="Sommario7">
    <w:name w:val="toc 7"/>
    <w:basedOn w:val="Normale"/>
    <w:next w:val="Normale"/>
    <w:autoRedefine/>
    <w:uiPriority w:val="39"/>
    <w:unhideWhenUsed/>
    <w:rsid w:val="00774967"/>
    <w:pPr>
      <w:spacing w:after="100"/>
      <w:ind w:left="1320"/>
    </w:pPr>
    <w:rPr>
      <w:rFonts w:eastAsiaTheme="minorEastAsia"/>
    </w:rPr>
  </w:style>
  <w:style w:type="paragraph" w:styleId="Sommario8">
    <w:name w:val="toc 8"/>
    <w:basedOn w:val="Normale"/>
    <w:next w:val="Normale"/>
    <w:autoRedefine/>
    <w:uiPriority w:val="39"/>
    <w:unhideWhenUsed/>
    <w:rsid w:val="00774967"/>
    <w:pPr>
      <w:spacing w:after="100"/>
      <w:ind w:left="1540"/>
    </w:pPr>
    <w:rPr>
      <w:rFonts w:eastAsiaTheme="minorEastAsia"/>
    </w:rPr>
  </w:style>
  <w:style w:type="paragraph" w:styleId="Sommario9">
    <w:name w:val="toc 9"/>
    <w:basedOn w:val="Normale"/>
    <w:next w:val="Normale"/>
    <w:autoRedefine/>
    <w:uiPriority w:val="39"/>
    <w:unhideWhenUsed/>
    <w:rsid w:val="00774967"/>
    <w:pPr>
      <w:spacing w:after="100"/>
      <w:ind w:left="1760"/>
    </w:pPr>
    <w:rPr>
      <w:rFonts w:eastAsiaTheme="minorEastAsia"/>
    </w:rPr>
  </w:style>
  <w:style w:type="character" w:customStyle="1" w:styleId="Menzionenonrisolta1">
    <w:name w:val="Menzione non risolta1"/>
    <w:basedOn w:val="Carpredefinitoparagrafo"/>
    <w:uiPriority w:val="99"/>
    <w:semiHidden/>
    <w:unhideWhenUsed/>
    <w:rsid w:val="00774967"/>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f0">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A2632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632C"/>
    <w:rPr>
      <w:rFonts w:ascii="Segoe UI" w:hAnsi="Segoe UI" w:cs="Segoe UI"/>
      <w:sz w:val="18"/>
      <w:szCs w:val="18"/>
    </w:rPr>
  </w:style>
  <w:style w:type="paragraph" w:styleId="NormaleWeb">
    <w:name w:val="Normal (Web)"/>
    <w:basedOn w:val="Normale"/>
    <w:uiPriority w:val="99"/>
    <w:semiHidden/>
    <w:unhideWhenUsed/>
    <w:rsid w:val="00613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2">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5" w:type="dxa"/>
        <w:left w:w="15" w:type="dxa"/>
        <w:bottom w:w="15" w:type="dxa"/>
        <w:right w:w="15" w:type="dxa"/>
      </w:tblCellMar>
    </w:tblPr>
  </w:style>
  <w:style w:type="table" w:customStyle="1" w:styleId="af4">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5">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6">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7">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8">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9">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a">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b">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c">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d">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e">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0">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d">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e">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0">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1">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2">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3">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4">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5">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6">
    <w:basedOn w:val="TableNormal2"/>
    <w:rPr>
      <w:rFonts w:ascii="Cambria" w:eastAsia="Cambria" w:hAnsi="Cambria" w:cs="Cambria"/>
      <w:color w:val="366091"/>
      <w:sz w:val="20"/>
      <w:szCs w:val="20"/>
    </w:rPr>
    <w:tblPr>
      <w:tblStyleRowBandSize w:val="1"/>
      <w:tblStyleColBandSize w:val="1"/>
      <w:tblCellMar>
        <w:left w:w="108" w:type="dxa"/>
        <w:right w:w="108" w:type="dxa"/>
      </w:tblCellMar>
    </w:tblPr>
  </w:style>
  <w:style w:type="table" w:customStyle="1" w:styleId="afff7">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8">
    <w:basedOn w:val="TableNormal2"/>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character" w:customStyle="1" w:styleId="Menzionenonrisolta2">
    <w:name w:val="Menzione non risolta2"/>
    <w:basedOn w:val="Carpredefinitoparagrafo"/>
    <w:uiPriority w:val="99"/>
    <w:semiHidden/>
    <w:unhideWhenUsed/>
    <w:rsid w:val="00CD15A3"/>
    <w:rPr>
      <w:color w:val="605E5C"/>
      <w:shd w:val="clear" w:color="auto" w:fill="E1DFDD"/>
    </w:rPr>
  </w:style>
  <w:style w:type="table" w:styleId="Grigliatabella">
    <w:name w:val="Table Grid"/>
    <w:basedOn w:val="Tabellanormale"/>
    <w:uiPriority w:val="39"/>
    <w:rsid w:val="0005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Table of contents numbered Carattere,Elenco num ARGEA Carattere,body Carattere,Odsek zoznamu2 Carattere,List Paragraph1 Carattere,Bullet List Carattere,FooterText Carattere,lp1 Carattere,lp11 Carattere,numbered Carattere"/>
    <w:link w:val="Paragrafoelenco"/>
    <w:uiPriority w:val="1"/>
    <w:qFormat/>
    <w:rsid w:val="00E05742"/>
  </w:style>
  <w:style w:type="character" w:customStyle="1" w:styleId="normaltextrun">
    <w:name w:val="normaltextrun"/>
    <w:basedOn w:val="Carpredefinitoparagrafo"/>
    <w:uiPriority w:val="1"/>
    <w:rsid w:val="00FA63E5"/>
  </w:style>
  <w:style w:type="character" w:styleId="Collegamentovisitato">
    <w:name w:val="FollowedHyperlink"/>
    <w:basedOn w:val="Carpredefinitoparagrafo"/>
    <w:uiPriority w:val="99"/>
    <w:semiHidden/>
    <w:unhideWhenUsed/>
    <w:rsid w:val="00DC06A1"/>
    <w:rPr>
      <w:color w:val="954F72" w:themeColor="followedHyperlink"/>
      <w:u w:val="single"/>
    </w:rPr>
  </w:style>
  <w:style w:type="table" w:customStyle="1" w:styleId="afff9">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left w:w="115" w:type="dxa"/>
        <w:right w:w="1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1">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15" w:type="dxa"/>
        <w:right w:w="115" w:type="dxa"/>
      </w:tblCellMar>
    </w:tblPr>
  </w:style>
  <w:style w:type="table" w:customStyle="1" w:styleId="affffa">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b">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c">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d">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e">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left w:w="115" w:type="dxa"/>
        <w:right w:w="115" w:type="dxa"/>
      </w:tblCellMar>
    </w:tblPr>
  </w:style>
  <w:style w:type="table" w:customStyle="1" w:styleId="afffff0">
    <w:basedOn w:val="TableNormal0"/>
    <w:rPr>
      <w:rFonts w:ascii="Cambria" w:eastAsia="Cambria" w:hAnsi="Cambria" w:cs="Cambria"/>
      <w:color w:val="366091"/>
      <w:sz w:val="20"/>
      <w:szCs w:val="20"/>
    </w:rPr>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left w:w="115" w:type="dxa"/>
        <w:right w:w="115" w:type="dxa"/>
      </w:tblCellMar>
    </w:tblPr>
  </w:style>
  <w:style w:type="table" w:customStyle="1" w:styleId="afffff2">
    <w:basedOn w:val="TableNormal0"/>
    <w:tblPr>
      <w:tblStyleRowBandSize w:val="1"/>
      <w:tblStyleColBandSize w:val="1"/>
      <w:tblCellMar>
        <w:left w:w="115" w:type="dxa"/>
        <w:right w:w="115" w:type="dxa"/>
      </w:tblCellMar>
    </w:tblPr>
  </w:style>
  <w:style w:type="table" w:customStyle="1" w:styleId="afffff3">
    <w:basedOn w:val="TableNormal0"/>
    <w:tblPr>
      <w:tblStyleRowBandSize w:val="1"/>
      <w:tblStyleColBandSize w:val="1"/>
      <w:tblCellMar>
        <w:left w:w="115" w:type="dxa"/>
        <w:right w:w="115" w:type="dxa"/>
      </w:tblCellMar>
    </w:tblPr>
  </w:style>
  <w:style w:type="table" w:customStyle="1" w:styleId="afffff4">
    <w:basedOn w:val="TableNormal0"/>
    <w:tblPr>
      <w:tblStyleRowBandSize w:val="1"/>
      <w:tblStyleColBandSize w:val="1"/>
      <w:tblCellMar>
        <w:left w:w="115" w:type="dxa"/>
        <w:right w:w="115" w:type="dxa"/>
      </w:tblCellMar>
    </w:tblPr>
  </w:style>
  <w:style w:type="table" w:customStyle="1" w:styleId="afffff5">
    <w:basedOn w:val="TableNormal0"/>
    <w:tblPr>
      <w:tblStyleRowBandSize w:val="1"/>
      <w:tblStyleColBandSize w:val="1"/>
      <w:tblCellMar>
        <w:left w:w="115" w:type="dxa"/>
        <w:right w:w="115" w:type="dxa"/>
      </w:tblCellMar>
    </w:tblPr>
  </w:style>
  <w:style w:type="table" w:customStyle="1" w:styleId="a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2_0190.htm" TargetMode="External"/><Relationship Id="rId13" Type="http://schemas.openxmlformats.org/officeDocument/2006/relationships/hyperlink" Target="https://www.bosettiegatti.eu/info/norme/statali/2013_00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3_003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zioneistruzione@pec.regione.venet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ormazioneistruzione@regione.veneto.it" TargetMode="External"/><Relationship Id="rId4" Type="http://schemas.openxmlformats.org/officeDocument/2006/relationships/settings" Target="settings.xml"/><Relationship Id="rId9" Type="http://schemas.openxmlformats.org/officeDocument/2006/relationships/hyperlink" Target="https://www.bosettiegatti.eu/info/norme/statali/2015_0124.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3SFyZ8425j34Kb3BrhObMYAHw==">CgMxLjAyCWguMWpsYW80NjIJaC40M2t5NnJ6MgloLjJpcThnenMyCGgueHZpcjdsMgloLjNodjY5dmUyCWguMXgwZ2szNzIOaC53ZzJleWk4b2tqaTIyDmgudWF2ODQ2cWN4czV5Mg5oLjV0aGF0ZHJqZGdhYTIOaC40d2NtY2s3ZXNlcGUyDWguamJrYTd6YzFqdDUyDmguOGF6aGdxdGRoanJ1MghoLnozMzd5YTIJaC40YnZrN3BqMgloLjJyMHVoeGMyCWguMTY2NHM1NTIOaC5oZ2lzemt5YWZzMzAyCWguMjViMmwwcjIIaC5rZ2N2OGsyCWguMzRnMGR3ZDIJaC40aDA0MnIwMgloLjJ3NWVjeXQyCWguMWJhb242bTIOaC54cDU3czYzcWptdnMyCWguM3ZhYzV1ZjIJaC4yYWZtZzI4MghoLnBrd3FhMTIJaC4zOWtrOHh1MgloLjFvcHVqNW4yCWguNDhwaTF0ZzIJaC4ybnVzYzE5MgloLjEzMDJtOTIyCWguM216cTR3djIJaC4yMjUwZjRvMghoLmhhYXBjaDIJaC4zMTl5ODBhMgloLjQwZXcwdncyCWguMmZrNmIzcDIIaC51cGdsYmkyCWguM2VwNDN6YjIJaC4xdHVlZTc0MgloLjRkdTF3dXgyCWguMnN6YzcycTIJaC4xODRtaGFqMgloLjFnZjhpODMyCWguM3M0OXp5YzIOaC41MTZhMnBxaWhrYmQyDmgueWZmMnhyejYwbDdxMgloLjI3OWthNjUyCGgubWV1a2R5MgloLjM2ZWkzMXIyCWguMWxqc2Q5azIJaC4xMXNpNWlkMgloLjNsczVvNjYyCWguMjB4ZnlkejIJaC40a3gzaDFzMgloLjQ1amZ2eGQyCWguMmtvcTY1NjIIaC56dTBnY3oyCWguM2p0bnowczIJaC4yM211dnkyMgloLjF5eXk5OGwyDmguMTRmbG40YW9hZTY4MgloLjRpeWxyd2UyCWguMnkzdzI0NzIJaC4yZDUxZG1iMghoLnNhYm51NDIJaC4xZDk2Y2MwMgloLjN4OHR1enQyCWguMmNlNDU3bTIIaC5yamVmZmYyCWguM2JqMXkzODIJaC4xcW9jOGIxMgloLjRhbnpxeXUyCWguMnB0YTE2bjIJaC4xNHlrYmVnMgloLjNveTd1MjkyCWguMjQzaTRhMjIIaC5qOHNlaHYyCWguMzM4Zng1bzIJaC4xaWRxN2RoMgloLjQyZGRxMWEyCWguMmhpbzA5MzIIaC53bnlhZ3cyCWguNDFtZ2htbDIJaC4zZ25sdDRwMgloLjF2c3czY2kyCWguNGZzam0wYjIJaC4ydXh0dzg0MgloLjFhMzQ2ZngyCWguM3UycnAzcTIJaC4yOTgxemJqMghoLm9kYzlqYzIIaC53aGwyN2wyCWguM2doOGt2ZTIJaC4zOGN6czc1MgloLjFuaWEyZXkyCWguNDdoeGwycjIJaC4ybW43dmFrMgloLjMwMmRyOWwyCWguMWY3bzFoZTIJaC4zejdiazU3MgloLjJlY2x1ZDAyCGgudGh3NGt0MgloLjNkaGpuOG0yCWguMXNtdHhnZjIJaC40Y21oZzQ4MgloLjJycnJxYzEyCWguMTZ4MjBqdTIJaC4zcXdwajduMgloLjI2MXp0ZmcyDmgueWtuNmwxaW5hNjA2Mg5oLjl3a3E0aG9hZWVmMjIIaC5sN2EzbjkyDmgueXZubm1lZWcwYzIwMg5oLnlvbDlyZ3RwcGN1azIJaC40NG01ZjlkMgloLjJqcmZwaDYyCGgueXdwem96MgloLjNpd2RpY3MyCWguMXkxbnNrbDIJaC40aTFiYjhlMgloLjJ4NmxsZzcyCWguMWNidnZvMDIJaC4zd2JqZWJ0MgloLjM1NnhtYjIyCWguMWtjN3dpdjIJaC40NGJ2ZjZvMgloLjFoNjVxbXMyCWguNDE1dDlhbDIJaC4yZ2IzamllMghoLnZnZHRxNzIJaC4yamg1cGVoMg5oLjV0MHN5ZDVmdGw1eDIIaC55bWZ6bWEyDmguZjE1NXV6MXNnNWptMgloLjNpbTNpYTMyCWguMXhyZHNodzIJaC40aHIxYjVwMgloLjJ3d2JsZGkyDmguOG9jZzQ3ZnE1dXRpMgloLjFjMWx2bGIyDmguM2RoeHR1OHJtOTdkMg5oLjdwY2g0ZnFpYzl1MTIJaC4zdzE5ZTk0MgloLjJiNmpvZ3gyCWguMnZ6MTRwaTIIaC5xYnR5b3E4AHIhMUo4WkhwVkRNRlloUjZ5a1p0NzJ6OWswTWFlUENyMC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3176</Words>
  <Characters>18106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Musso Giorgio</dc:creator>
  <cp:lastModifiedBy>SOFIA MONTANARO</cp:lastModifiedBy>
  <cp:revision>3</cp:revision>
  <dcterms:created xsi:type="dcterms:W3CDTF">2023-07-03T10:44:00Z</dcterms:created>
  <dcterms:modified xsi:type="dcterms:W3CDTF">2023-07-03T10:45:00Z</dcterms:modified>
</cp:coreProperties>
</file>