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RESOCONTO DI AUDIT - PARTE A: REQUISITI STRUTTURALI – IGIENE E SICUREZZA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ROCEDIMENTO DI ACCREDITAMENTO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MANTENIMENTO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🗹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VARIAZIONE SEDE OPERATIVA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481.0" w:type="dxa"/>
        <w:jc w:val="left"/>
        <w:tblInd w:w="18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953"/>
        <w:gridCol w:w="5528"/>
        <w:tblGridChange w:id="0">
          <w:tblGrid>
            <w:gridCol w:w="5953"/>
            <w:gridCol w:w="5528"/>
          </w:tblGrid>
        </w:tblGridChange>
      </w:tblGrid>
      <w:tr>
        <w:trPr>
          <w:cantSplit w:val="0"/>
          <w:trHeight w:val="65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DENOMINAZIONE ENTE: </w:t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AUDITOR: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AUDIT: 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89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287"/>
        <w:gridCol w:w="6604"/>
        <w:tblGridChange w:id="0">
          <w:tblGrid>
            <w:gridCol w:w="7287"/>
            <w:gridCol w:w="660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Ente: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Fiscale: 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Sede Operativa: 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Spazi didattici (solo per OdF):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Referente per l’Audit: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Tel: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Mail: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PEC: </w:t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Nota: Il presente Resoconto è riferito ai requisiti 1.2 del modello di Accreditamento alla Formazione DGR 2120 del 2015 e ai requisiti relativi all’art 10 punto 1 b3) e b4) del modello di accreditamento dei Servizi al Lavoro DGR 2238 del 2011.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Corredare i punti del presente Verbale con le evidenze documentali. Se un certificato/documento/procedura è stato già verificato in un audit precedente ed è ancora in corso di validità, il documento va descritto nel resoconto ma non è necessario sia caricato nella cartella in GDrive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422.000000000004" w:type="dxa"/>
        <w:jc w:val="left"/>
        <w:tblInd w:w="-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"/>
        <w:gridCol w:w="5245"/>
        <w:gridCol w:w="6237"/>
        <w:gridCol w:w="3514"/>
        <w:tblGridChange w:id="0">
          <w:tblGrid>
            <w:gridCol w:w="426"/>
            <w:gridCol w:w="5245"/>
            <w:gridCol w:w="6237"/>
            <w:gridCol w:w="3514"/>
          </w:tblGrid>
        </w:tblGridChange>
      </w:tblGrid>
      <w:tr>
        <w:trPr>
          <w:cantSplit w:val="0"/>
          <w:trHeight w:val="383" w:hRule="atLeast"/>
          <w:tblHeader w:val="0"/>
        </w:trPr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beef3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Idoneità locali a norme igieniche e di sicurezza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shd w:fill="dbeef3" w:val="clear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Requisiti D.Lgs 81/2008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Evidenze oggettive. Da compilare a cura dell’Ente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29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auditor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548dd4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Documento Valutazione Rischi (artt. 28 e 29).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Documento con data certa del ..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Revisione n……. ,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6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Datore di lavoro Nome_Cognome,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276d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Nomina del Medico Competente,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oppure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Riportare nel DVR che non ci sono attività soggette alla sorveglianza sanitaria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Compilare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80" w:line="240" w:lineRule="auto"/>
              <w:ind w:left="358" w:right="0" w:hanging="28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Lettera o ordine di servizio designazione dei lavoratori incaricati del Primo Soccorso + attestati corsi di formazione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72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20" w:line="240" w:lineRule="auto"/>
              <w:ind w:left="358" w:right="0" w:hanging="284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Lettera o ordine di servizio di designazione dei lavoratori incaricati Lotta Antincendio + attestati corsi di formazione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Designazione squadra di Primo Soccorso del ..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Corso di formazione erogati da Nome Ente, il ..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Designazione squadra di Lotta Antincendio del ..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Corso di formazione erogati da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Ente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, il 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Designazione RSPP e relativa formazione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Designazione RSPP del ..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Aggiornamenti formazione dal precedente audit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15564.0" w:type="dxa"/>
        <w:jc w:val="left"/>
        <w:tblInd w:w="-2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8"/>
        <w:gridCol w:w="6304"/>
        <w:gridCol w:w="5178"/>
        <w:gridCol w:w="3514"/>
        <w:tblGridChange w:id="0">
          <w:tblGrid>
            <w:gridCol w:w="568"/>
            <w:gridCol w:w="6304"/>
            <w:gridCol w:w="5178"/>
            <w:gridCol w:w="3514"/>
          </w:tblGrid>
        </w:tblGridChange>
      </w:tblGrid>
      <w:tr>
        <w:trPr>
          <w:cantSplit w:val="0"/>
          <w:trHeight w:val="508" w:hRule="atLeast"/>
          <w:tblHeader w:val="0"/>
        </w:trPr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Agibilità/Abitabilità (una delle seguenti fattispecie)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Evidenze oggettive. Da compilare a cura dell’Ente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29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auditor</w:t>
            </w:r>
          </w:p>
        </w:tc>
      </w:tr>
      <w:tr>
        <w:trPr>
          <w:cantSplit w:val="0"/>
          <w:trHeight w:val="20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2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B1 Agibilità/Abitabilità dei locali rilasciata dal Comune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B2 Segnalazione Certificata Inizio Attività, CILA, DIA ai fini edilizi 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SOLO per gli enti accreditati alla FORMAZIONE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Dai documenti casi B1 o B2 deve essere palese la destinazione d’uso “formazione o didattica”, o altra destinazione d’uso equivalente. 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6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 non presente, l’ente deve richiedere all’ULSS il Nulla Osta Tecnico Sanitario per la corrispondenza dei locali all’Uso Didattico.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Riportare gli estremi del documento, compreso il soggetto che l’ha emesso (USL, Comune, professionista), la data ed eventuale protocollo.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5564.0" w:type="dxa"/>
        <w:jc w:val="left"/>
        <w:tblInd w:w="-2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8"/>
        <w:gridCol w:w="6304"/>
        <w:gridCol w:w="3618"/>
        <w:gridCol w:w="5074"/>
        <w:tblGridChange w:id="0">
          <w:tblGrid>
            <w:gridCol w:w="568"/>
            <w:gridCol w:w="6304"/>
            <w:gridCol w:w="3618"/>
            <w:gridCol w:w="5074"/>
          </w:tblGrid>
        </w:tblGridChange>
      </w:tblGrid>
      <w:tr>
        <w:trPr>
          <w:cantSplit w:val="0"/>
          <w:trHeight w:val="553" w:hRule="atLeast"/>
          <w:tblHeader w:val="0"/>
        </w:trPr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Prevenzione Incendi (una delle seguenti fattispecie)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DPR 151/2011 – DM 2.09.2021 / DM 3.09.2021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Evidenze oggettive. Da compilare a cura dell’Ente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29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auditor</w:t>
            </w:r>
          </w:p>
        </w:tc>
      </w:tr>
      <w:tr>
        <w:trPr>
          <w:cantSplit w:val="0"/>
          <w:trHeight w:val="13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4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4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SCIA o Attestazione di rinnovo periodico di conformità antincendio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4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4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oppure 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4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24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Valutazione del Rischio Incendio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Riportare gli estremi del documento con data e il numero di pratica dei VVF 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f276da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a) Piano di emergenza (*) obbligatorio nei seguenti casi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- 10 lavoratori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- presenza &gt; 50 persone indipendentemente dai lavoratori 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- luoghi che rientrano nell’allegato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al DPR 151/2011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b) Prove di evacuazione formalizzate (quando obbligatorie)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c) Ultima manutenzione dei presidi antincendio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a) ..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b) ..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c) 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Note punto C: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L’attestazione di rinnovo deve essere depositata, o trasmessa tramite il SUAP, al Comando dei Vigili del Fuoco, è necessaria la ricevuta di presentazione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*) Nel caso di luoghi di lavoro aperti al pubblico con meno di 10 lavoratori o con meno di 50 persone contemporaneamente presenti e che NON rientrano nell’allegato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del Decreto del Presidente della Repubblica 151/2011, il Datore di lavoro non è obbligato alla redazione del piano di emergenza, ma rimane la necessità di adottare tutte le misure organizzative e gestionali che devono essere attuate in caso di incendio. Tali misure devono essere riportate all’interno del DVR o nel documento redatto secondo le procedure standardizzate.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6"/>
        <w:tblW w:w="15563.0" w:type="dxa"/>
        <w:jc w:val="left"/>
        <w:tblInd w:w="-2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5670"/>
        <w:gridCol w:w="5953"/>
        <w:gridCol w:w="3373"/>
        <w:tblGridChange w:id="0">
          <w:tblGrid>
            <w:gridCol w:w="567"/>
            <w:gridCol w:w="5670"/>
            <w:gridCol w:w="5953"/>
            <w:gridCol w:w="3373"/>
          </w:tblGrid>
        </w:tblGridChange>
      </w:tblGrid>
      <w:tr>
        <w:trPr>
          <w:cantSplit w:val="0"/>
          <w:trHeight w:val="358" w:hRule="atLeast"/>
          <w:tblHeader w:val="0"/>
        </w:trPr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Dichiarazione di Conformità Impianti Elettrici e Termici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(D.M. 37/08 o Legge 46/90)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Evidenze oggettive. Da compilare a cura dell’Ente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29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auditor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D.1.1: Dichiarazione/i di conformità dell’impresa/e installatrice per distribuzione energia elettrica, oppure 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D.1.2: Dichiarazione di Rispondenza (art. 7 c. 6 Legge 37/80)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Rilasciata dall’impresa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Impresa,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il (data)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D.2.1: Dichiarazione/i di conformità dell’impresa/e installatrice per impianti di riscaldamento o climatizzazione;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oppure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D.2.2: Dichiarazione di Rispondenza (art. 7 c. 6 Legge 37/80)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Rilasciata dall’impresa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Impresa,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il (data)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5563.0" w:type="dxa"/>
        <w:jc w:val="left"/>
        <w:tblInd w:w="-2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5670"/>
        <w:gridCol w:w="5953"/>
        <w:gridCol w:w="3373"/>
        <w:tblGridChange w:id="0">
          <w:tblGrid>
            <w:gridCol w:w="567"/>
            <w:gridCol w:w="5670"/>
            <w:gridCol w:w="5953"/>
            <w:gridCol w:w="3373"/>
          </w:tblGrid>
        </w:tblGridChange>
      </w:tblGrid>
      <w:tr>
        <w:trPr>
          <w:cantSplit w:val="0"/>
          <w:trHeight w:val="421" w:hRule="atLeast"/>
          <w:tblHeader w:val="0"/>
        </w:trPr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Impianti Elettrici di Messa a Terra (D.P.R. 462/2001)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Evidenze oggettive. Da compilare a cura dell’Ente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auditor</w:t>
            </w:r>
          </w:p>
        </w:tc>
      </w:tr>
      <w:tr>
        <w:trPr>
          <w:cantSplit w:val="0"/>
          <w:trHeight w:val="8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Estremi della Verifica periodica (biennale o quinquennale).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 verifica deve essere effettuata dall’ARPAV o Organismi abilitati alle verifiche dal Min. Attività Produttive.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Riportare gli estremi della Verifica Periodica  ..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5563.0" w:type="dxa"/>
        <w:jc w:val="left"/>
        <w:tblInd w:w="-2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5670"/>
        <w:gridCol w:w="5953"/>
        <w:gridCol w:w="3373"/>
        <w:tblGridChange w:id="0">
          <w:tblGrid>
            <w:gridCol w:w="567"/>
            <w:gridCol w:w="5670"/>
            <w:gridCol w:w="5953"/>
            <w:gridCol w:w="3373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Dispositivi di Protezione Contro le Scariche Atmosferiche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Evidenze oggettive. Da compilare a cura dell’Ente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29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auditor</w:t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8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Protezione contro i fulmini - Analisi del rischio, ovvero relazione firmata da un Tecnico Abilitato circa lo stato di protezione dell’edificio contro le scariche atmosferiche redatto secondo le norme CEI attualmente applicabili.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8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 già presente, occorre verificare che i risultati della valutazione effettuata nel ........ siano tuttora validi, alla luce della norma CEI EN 62305-2 del Febbraio 2013.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Relazione del (data)  firmata Nome_Cognome, tecnico abilitato iscritto albo professionale …..  al numero  … 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40" w:before="4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Dalla relazione risulta che l’edificio è   ..........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8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9900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" w:before="24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 la normativa vigente prevede l’Impianto di protezione delle scariche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" w:before="24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F.2.1) Estremi della Verifica periodica (quinquennale o biennale). La verifica deve essere effettuata dall’ARPAV o Organismi abilitati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Verifica periodica effettuata da ARPAV (o organismo Abilitato)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5563.0" w:type="dxa"/>
        <w:jc w:val="left"/>
        <w:tblInd w:w="-2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5670"/>
        <w:gridCol w:w="5953"/>
        <w:gridCol w:w="3373"/>
        <w:tblGridChange w:id="0">
          <w:tblGrid>
            <w:gridCol w:w="567"/>
            <w:gridCol w:w="5670"/>
            <w:gridCol w:w="5953"/>
            <w:gridCol w:w="3373"/>
          </w:tblGrid>
        </w:tblGridChange>
      </w:tblGrid>
      <w:tr>
        <w:trPr>
          <w:cantSplit w:val="0"/>
          <w:tblHeader w:val="0"/>
        </w:trPr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Ascensori e Montacarichi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(D.P.R. 162/99 come modificato dal D.P.R. 23/2017)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Evidenze oggettive. Da compilare a cura dell’Ente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29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auditor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0" w:before="50" w:line="240" w:lineRule="auto"/>
              <w:ind w:left="357" w:right="0" w:hanging="142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Verifica periodica (ARPAV o Organismi Abilitato) 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0" w:before="50" w:line="240" w:lineRule="auto"/>
              <w:ind w:left="215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0" w:before="50" w:line="240" w:lineRule="auto"/>
              <w:ind w:left="357" w:right="0" w:hanging="142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Manutenzione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Verifiche periodiche 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biennali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 eseguite da ARPAV (o Organismo Abilitato alle Verifiche) riportare data ultima   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Manutenzioni 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almeno una ogni 6 mesi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 eseguite da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Nome_Impresa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, riportare data ultima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0" w:before="50" w:line="240" w:lineRule="auto"/>
              <w:ind w:left="215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5563.0" w:type="dxa"/>
        <w:jc w:val="left"/>
        <w:tblInd w:w="-2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5670"/>
        <w:gridCol w:w="5953"/>
        <w:gridCol w:w="3373"/>
        <w:tblGridChange w:id="0">
          <w:tblGrid>
            <w:gridCol w:w="567"/>
            <w:gridCol w:w="5670"/>
            <w:gridCol w:w="5953"/>
            <w:gridCol w:w="3373"/>
          </w:tblGrid>
        </w:tblGridChange>
      </w:tblGrid>
      <w:tr>
        <w:trPr>
          <w:cantSplit w:val="0"/>
          <w:tblHeader w:val="0"/>
        </w:trPr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Impianti Termici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(DPR n. 412/93 - D.P.R. 74/2013 s.m.e i.)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Evidenze oggettive. Da compilare a cura dell’Ente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29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auditor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Presenza del libretto di impianto (potenza &lt; 35 kw) o del libretto di centrale (potenza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≥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35 kw), aggiornato con le manutenzioni e le verifiche periodiche.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Rapporto di efficienza energetica di Tipo 1 o di Tipo 2 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Controlli Periodici eseguiti da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Nome_Impresa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,- riportare data ultimi  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5563.0" w:type="dxa"/>
        <w:jc w:val="left"/>
        <w:tblInd w:w="-2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5670"/>
        <w:gridCol w:w="5953"/>
        <w:gridCol w:w="3373"/>
        <w:tblGridChange w:id="0">
          <w:tblGrid>
            <w:gridCol w:w="567"/>
            <w:gridCol w:w="5670"/>
            <w:gridCol w:w="5953"/>
            <w:gridCol w:w="3373"/>
          </w:tblGrid>
        </w:tblGridChange>
      </w:tblGrid>
      <w:tr>
        <w:trPr>
          <w:cantSplit w:val="0"/>
          <w:tblHeader w:val="0"/>
        </w:trPr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ACCESSIBILITA’ dei locali –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f276da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Superamento delle barriere architettoniche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Evidenze oggettive. Da compilare a cura dell’Ente</w:t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29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auditor</w:t>
            </w:r>
          </w:p>
        </w:tc>
      </w:tr>
      <w:tr>
        <w:trPr>
          <w:cantSplit w:val="0"/>
          <w:trHeight w:val="6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8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Agibilità/Abitabilità (deve essere riportato esplicitamente il superamento delle barriere arch.) 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SCIA o altro documento analogo presentata al Comune per lavori di adeguamento / messa a norma per l’accessibilità della sede, corredato dall’atto di chiusura lavori.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1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Relazione redatta da un tecnico iscritto all'albo professionale (geometra, ingegnere, architetto.) da cui si evince l’ACCESSIBILITA’ de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sz w:val="18"/>
                <w:szCs w:val="18"/>
                <w:highlight w:val="white"/>
                <w:u w:val="none"/>
                <w:vertAlign w:val="baseline"/>
                <w:rtl w:val="0"/>
              </w:rPr>
              <w:t xml:space="preserve">ll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’unità immobiliare/sede operativa comprensiva di ogni suo spazio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1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Per i requisiti tecnici applicabili è possibile riferirsi a quanto esplicitato dalle normative di riferimento: DM 236/1989, DGR 1428/2011 e s.m.i., DGR 840/2009.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Sarebbe opportuno che la relazione fosse descrittiva e possibilmente corredata da fotografie e/o planimetrie degli spazi descritti.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Riportare gli estremi del documento (SCIA, CILA, ecc) 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Relazione del .., redatta da (nominativo del professionista) iscritto all’Albo ..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5563.0" w:type="dxa"/>
        <w:jc w:val="left"/>
        <w:tblInd w:w="-2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"/>
        <w:gridCol w:w="5670"/>
        <w:gridCol w:w="5953"/>
        <w:gridCol w:w="3373"/>
        <w:tblGridChange w:id="0">
          <w:tblGrid>
            <w:gridCol w:w="567"/>
            <w:gridCol w:w="5670"/>
            <w:gridCol w:w="5953"/>
            <w:gridCol w:w="3373"/>
          </w:tblGrid>
        </w:tblGridChange>
      </w:tblGrid>
      <w:tr>
        <w:trPr>
          <w:cantSplit w:val="0"/>
          <w:trHeight w:val="66" w:hRule="atLeast"/>
          <w:tblHeader w:val="0"/>
        </w:trPr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Titolo di possesso</w:t>
            </w:r>
          </w:p>
        </w:tc>
        <w:tc>
          <w:tcPr>
            <w:shd w:fill="dbeef3" w:val="clear"/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Evidenze oggettive. Da compilare a cura dell’Ente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auditor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Atto di proprietà, contratto di locazione, contratto comodato d’uso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Riportare gli estremi dell’atto di compravendita o del contratto di locazione più registrazione  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(Non sono ammessi i contratti di service)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NOTE ESPLICATIVE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44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ricorda che le risorse fisiche e tecnologiche possono essere di proprietà, oppure disponibili in virtù di contratto/convenzione d’uso. In ogni caso, l’idoneità alle norme igieniche e di sicurezza deve essere documentata a cura del Soggetto accreditato prima dell’Audit.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44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Punto B) Per locali come palcoscenici e teatri, il parere favorevole della commissione comunale al Pubblico Spettacolo, rilasciato ai sensi degli artt. 68, 69 e 80 del T.U.L.P.S, costituisce titolo equivalente.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44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Punti D1 e D2) Nel caso di SCIA presentata ai VVF, in sede di audit non è necessario verificare la documentazione relativa alla dichiarazione di conformità per gli impianti di distribuzione dell’energia elettrica e della centrale termica.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SOLO PER SOGGETTI ACCREDITATI ALLA FORMAZIONE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5451.0" w:type="dxa"/>
        <w:jc w:val="left"/>
        <w:tblInd w:w="-2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5244"/>
        <w:gridCol w:w="5954"/>
        <w:gridCol w:w="3544"/>
        <w:tblGridChange w:id="0">
          <w:tblGrid>
            <w:gridCol w:w="709"/>
            <w:gridCol w:w="5244"/>
            <w:gridCol w:w="5954"/>
            <w:gridCol w:w="3544"/>
          </w:tblGrid>
        </w:tblGridChange>
      </w:tblGrid>
      <w:tr>
        <w:trPr>
          <w:cantSplit w:val="0"/>
          <w:trHeight w:val="265" w:hRule="atLeast"/>
          <w:tblHeader w:val="0"/>
        </w:trPr>
        <w:tc>
          <w:tcPr>
            <w:tcBorders>
              <w:bottom w:color="000000" w:space="0" w:sz="4" w:val="single"/>
            </w:tcBorders>
            <w:shd w:fill="dbeef3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dbeef3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Requisito del modello</w:t>
            </w:r>
          </w:p>
        </w:tc>
        <w:tc>
          <w:tcPr>
            <w:tcBorders>
              <w:bottom w:color="000000" w:space="0" w:sz="4" w:val="single"/>
            </w:tcBorders>
            <w:shd w:fill="dbeef3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Evidenze oggettive. Da compilare a cura dell’Ente</w:t>
            </w:r>
          </w:p>
        </w:tc>
        <w:tc>
          <w:tcPr>
            <w:tcBorders>
              <w:bottom w:color="000000" w:space="0" w:sz="4" w:val="single"/>
            </w:tcBorders>
            <w:shd w:fill="dbeef3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auditor</w:t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8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Normativa specifica relativa alle tipologie di attività formative (quando applicabile), per esempio: 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- attività di estetica / acconciatura, 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- adempimenti di carattere sanitario per attività a carattere alimentare (produzione, trasformazione di alimenti, ecc.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3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1.3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Idoneità strutture necessarie all’erogazione della Formazione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Procedura/prassi consolidata di approvvigionamento spazi didattici esterni (quando applicabile)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Presenza di laboratori tecnici/tecnologici coerenti con i corsi erogati e adeguati al numero degli utenti 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- almeno 2 mq / allievo 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Procedura di approvvigionamento: evidenze acquisizione spazi didattici esterni.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851"/>
              </w:tabs>
              <w:spacing w:after="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Solo per ambiti Obbligo Formativo e Formazione superiore: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851"/>
              </w:tabs>
              <w:spacing w:after="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 locali di erogazione delle attività formative sono presenti all’interno della sede operativa  accreditata 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SI/NO 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(rif. allegato 1)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4"/>
        <w:tblW w:w="15310.0" w:type="dxa"/>
        <w:jc w:val="left"/>
        <w:tblInd w:w="-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250"/>
        <w:gridCol w:w="2060"/>
        <w:tblGridChange w:id="0">
          <w:tblGrid>
            <w:gridCol w:w="13250"/>
            <w:gridCol w:w="2060"/>
          </w:tblGrid>
        </w:tblGridChange>
      </w:tblGrid>
      <w:tr>
        <w:trPr>
          <w:cantSplit w:val="0"/>
          <w:trHeight w:val="2634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RIEPILOGO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Rilievi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Raccomandazioni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(aspetti che devono essere gestiti entro il prossimo audit)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Suggerimenti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(spunti per il miglioramento)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per l’Ufficio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 dati raccolti in sede di audit saranno oggetto di valutazione da parte dell’ufficio accreditamento e le risultanze saranno comunicate successivamente all’ente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Riserve dell’ente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Una copia del presente Resoconto resta agli atti dell’ente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Legale Rappresentante o il Delegato dichiara di averne preso visione di ogni punto di questo verbale.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presente Resoconto è sottoscritto digitalmente dall’Auditor e dal legale rappresentante dell’ente (o suo delegato; allegare atto di delega).</w:t>
      </w:r>
    </w:p>
    <w:sectPr>
      <w:headerReference r:id="rId9" w:type="default"/>
      <w:footerReference r:id="rId10" w:type="default"/>
      <w:pgSz w:h="11906" w:w="16838" w:orient="landscape"/>
      <w:pgMar w:bottom="907" w:top="1072" w:left="851" w:right="851" w:header="624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Verdana"/>
  <w:font w:name="Courier New"/>
  <w:font w:name="Bookman Old Style"/>
  <w:font w:name="Tahoma">
    <w:embedRegular w:fontKey="{00000000-0000-0000-0000-000000000000}" r:id="rId3" w:subsetted="0"/>
    <w:embedBold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6"/>
      <w:tblW w:w="8292.0" w:type="dxa"/>
      <w:jc w:val="left"/>
      <w:tblInd w:w="0.0" w:type="dxa"/>
      <w:tblLayout w:type="fixed"/>
      <w:tblLook w:val="0000"/>
    </w:tblPr>
    <w:tblGrid>
      <w:gridCol w:w="1063"/>
      <w:gridCol w:w="1559"/>
      <w:gridCol w:w="5670"/>
      <w:tblGridChange w:id="0">
        <w:tblGrid>
          <w:gridCol w:w="1063"/>
          <w:gridCol w:w="1559"/>
          <w:gridCol w:w="5670"/>
        </w:tblGrid>
      </w:tblGridChange>
    </w:tblGrid>
    <w:tr>
      <w:trPr>
        <w:cantSplit w:val="0"/>
        <w:trHeight w:val="78" w:hRule="atLeast"/>
        <w:tblHeader w:val="0"/>
      </w:trPr>
      <w:tc>
        <w:tcPr>
          <w:vAlign w:val="top"/>
        </w:tcPr>
        <w:p w:rsidR="00000000" w:rsidDel="00000000" w:rsidP="00000000" w:rsidRDefault="00000000" w:rsidRPr="00000000" w14:paraId="0000013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di </w:t>
          </w: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</w:t>
          </w:r>
        </w:p>
      </w:tc>
      <w:tc>
        <w:tcPr>
          <w:vAlign w:val="top"/>
        </w:tcPr>
        <w:p w:rsidR="00000000" w:rsidDel="00000000" w:rsidP="00000000" w:rsidRDefault="00000000" w:rsidRPr="00000000" w14:paraId="0000013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Audit del ..</w:t>
          </w:r>
        </w:p>
      </w:tc>
      <w:tc>
        <w:tcPr>
          <w:vAlign w:val="top"/>
        </w:tcPr>
        <w:p w:rsidR="00000000" w:rsidDel="00000000" w:rsidP="00000000" w:rsidRDefault="00000000" w:rsidRPr="00000000" w14:paraId="0000013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Nome Ente</w:t>
          </w:r>
        </w:p>
      </w:tc>
    </w:tr>
  </w:tbl>
  <w:p w:rsidR="00000000" w:rsidDel="00000000" w:rsidP="00000000" w:rsidRDefault="00000000" w:rsidRPr="00000000" w14:paraId="000001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5"/>
      <w:tblW w:w="15238.0" w:type="dxa"/>
      <w:jc w:val="left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547"/>
      <w:gridCol w:w="10848"/>
      <w:gridCol w:w="1843"/>
      <w:tblGridChange w:id="0">
        <w:tblGrid>
          <w:gridCol w:w="2547"/>
          <w:gridCol w:w="10848"/>
          <w:gridCol w:w="1843"/>
        </w:tblGrid>
      </w:tblGridChange>
    </w:tblGrid>
    <w:tr>
      <w:trPr>
        <w:cantSplit w:val="0"/>
        <w:trHeight w:val="1266" w:hRule="atLeast"/>
        <w:tblHeader w:val="0"/>
      </w:trPr>
      <w:tc>
        <w:tcPr>
          <w:vAlign w:val="top"/>
        </w:tcPr>
        <w:p w:rsidR="00000000" w:rsidDel="00000000" w:rsidP="00000000" w:rsidRDefault="00000000" w:rsidRPr="00000000" w14:paraId="0000012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"/>
              <w:szCs w:val="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2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2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pict>
              <v:shape id="_x0000_s0" style="width:117pt;height:30pt;" type="#_x0000_t75">
                <v:imagedata r:id="rId1" o:title=""/>
              </v:shape>
              <o:OLEObject DrawAspect="Content" r:id="rId2" ObjectID="_1698211957" ProgID="PBrush" ShapeID="_x0000_s0" Type="Embed"/>
            </w:pict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2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"/>
              <w:szCs w:val="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2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2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VENETO LAVORO – REGIONE DEL VENETO</w:t>
          </w:r>
        </w:p>
        <w:p w:rsidR="00000000" w:rsidDel="00000000" w:rsidP="00000000" w:rsidRDefault="00000000" w:rsidRPr="00000000" w14:paraId="0000012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3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SISTEMA DI ACCREDITAMENTO DEGLI ORGANISMI DI FORMAZIONE E SERVIZI AL LAVORO</w:t>
          </w:r>
        </w:p>
        <w:p w:rsidR="00000000" w:rsidDel="00000000" w:rsidP="00000000" w:rsidRDefault="00000000" w:rsidRPr="00000000" w14:paraId="0000013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pos="3729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3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Bookman Old Style" w:cs="Bookman Old Style" w:eastAsia="Bookman Old Style" w:hAnsi="Bookman Old Style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-26034</wp:posOffset>
                </wp:positionH>
                <wp:positionV relativeFrom="paragraph">
                  <wp:posOffset>54610</wp:posOffset>
                </wp:positionV>
                <wp:extent cx="1113155" cy="768985"/>
                <wp:effectExtent b="0" l="0" r="0" t="0"/>
                <wp:wrapSquare wrapText="bothSides" distB="0" distT="0" distL="0" distR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3155" cy="7689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1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1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rFonts w:ascii="Verdana" w:hAnsi="Verdana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1"/>
    <w:pPr>
      <w:keepNext w:val="1"/>
      <w:numPr>
        <w:ilvl w:val="2"/>
        <w:numId w:val="1"/>
      </w:numPr>
      <w:suppressAutoHyphens w:val="1"/>
      <w:spacing w:after="1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1"/>
    <w:pPr>
      <w:keepNext w:val="1"/>
      <w:numPr>
        <w:ilvl w:val="3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rFonts w:ascii="Arial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1"/>
    <w:pPr>
      <w:numPr>
        <w:ilvl w:val="4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Arial" w:hAnsi="Arial"/>
      <w:w w:val="100"/>
      <w:position w:val="-1"/>
      <w:sz w:val="22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1"/>
    <w:pPr>
      <w:numPr>
        <w:ilvl w:val="5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5"/>
    </w:pPr>
    <w:rPr>
      <w:rFonts w:ascii="Arial" w:hAnsi="Arial"/>
      <w:i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numPr>
        <w:ilvl w:val="6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Ari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numPr>
        <w:ilvl w:val="7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7"/>
    </w:pPr>
    <w:rPr>
      <w:rFonts w:ascii="Arial" w:hAnsi="Arial"/>
      <w:i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9">
    <w:name w:val="Titolo 9"/>
    <w:basedOn w:val="Normale"/>
    <w:next w:val="Normale"/>
    <w:autoRedefine w:val="0"/>
    <w:hidden w:val="0"/>
    <w:qFormat w:val="0"/>
    <w:pPr>
      <w:numPr>
        <w:ilvl w:val="8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8"/>
    </w:pPr>
    <w:rPr>
      <w:rFonts w:ascii="Arial" w:hAnsi="Arial"/>
      <w:b w:val="1"/>
      <w:i w:val="1"/>
      <w:w w:val="100"/>
      <w:position w:val="-1"/>
      <w:sz w:val="18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0">
    <w:name w:val="Table Normal"/>
    <w:next w:val="TableNormal0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TableNormal0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olo"/>
    <w:basedOn w:val="Normale"/>
    <w:next w:val="Normale"/>
    <w:autoRedefine w:val="0"/>
    <w:hidden w:val="0"/>
    <w:qFormat w:val="0"/>
    <w:pPr>
      <w:keepNext w:val="1"/>
      <w:keepLines w:val="1"/>
      <w:suppressAutoHyphens w:val="1"/>
      <w:spacing w:after="120" w:before="48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position w:val="-1"/>
      <w:sz w:val="72"/>
      <w:szCs w:val="72"/>
      <w:effect w:val="none"/>
      <w:vertAlign w:val="baseline"/>
      <w:cs w:val="0"/>
      <w:em w:val="none"/>
      <w:lang w:bidi="ar-SA" w:eastAsia="it-IT" w:val="it-IT"/>
    </w:rPr>
  </w:style>
  <w:style w:type="table" w:styleId="TableNormal1">
    <w:name w:val="Table Normal"/>
    <w:next w:val="TableNormal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TableNormal1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TableNormal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paragraph" w:styleId="testo">
    <w:name w:val="testo"/>
    <w:basedOn w:val="Intestazione"/>
    <w:next w:val="tes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hAnsi="Verdana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abella">
    <w:name w:val="tabella"/>
    <w:basedOn w:val="Normale"/>
    <w:next w:val="Normale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he-IL" w:eastAsia="it-IT" w:val="it-IT"/>
    </w:rPr>
  </w:style>
  <w:style w:type="paragraph" w:styleId="Text">
    <w:name w:val="Text"/>
    <w:next w:val="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de-DE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und" w:val="und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Bookman Old Style" w:hAnsi="Bookman Old Style"/>
      <w:bCs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estocommento">
    <w:name w:val="Testo commento"/>
    <w:basedOn w:val="Normale"/>
    <w:next w:val="Testocom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Soggettocommento">
    <w:name w:val="Soggetto commento"/>
    <w:basedOn w:val="Testocommento"/>
    <w:next w:val="Testocom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NEPBPN+Arial" w:cs="NEPBPN+Arial" w:hAnsi="NEPBPN+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Rientrocorpodeltesto3">
    <w:name w:val="Rientro corpo del testo 3"/>
    <w:basedOn w:val="Normale"/>
    <w:next w:val="Rientrocorpodeltesto3"/>
    <w:autoRedefine w:val="0"/>
    <w:hidden w:val="0"/>
    <w:qFormat w:val="0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orpodeltestoCarattere">
    <w:name w:val="Corpo del testo Carattere"/>
    <w:next w:val="Corpodeltesto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ust-dettaglio-tipo-atto-num-data">
    <w:name w:val="cust-dettaglio-tipo-atto-num-data"/>
    <w:next w:val="cust-dettaglio-tipo-atto-num-dat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Enfasi(corsivo)">
    <w:name w:val="Enfasi (corsivo)"/>
    <w:basedOn w:val="Car.predefinitoparagrafo"/>
    <w:next w:val="Enfasi(corsivo)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Sottotitolo">
    <w:name w:val="Sottotitolo"/>
    <w:basedOn w:val="Normale"/>
    <w:next w:val="Normale"/>
    <w:autoRedefine w:val="0"/>
    <w:hidden w:val="0"/>
    <w:qFormat w:val="0"/>
    <w:pPr>
      <w:keepNext w:val="1"/>
      <w:keepLines w:val="1"/>
      <w:suppressAutoHyphens w:val="1"/>
      <w:spacing w:after="80" w:before="360" w:line="1" w:lineRule="atLeast"/>
      <w:ind w:leftChars="-1" w:rightChars="0" w:firstLineChars="-1"/>
      <w:textDirection w:val="btLr"/>
      <w:textAlignment w:val="top"/>
      <w:outlineLvl w:val="0"/>
    </w:pPr>
    <w:rPr>
      <w:rFonts w:ascii="Georgia" w:cs="Georgia" w:eastAsia="Georgia" w:hAnsi="Georgia"/>
      <w:i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ar-SA" w:eastAsia="it-IT" w:val="it-IT"/>
    </w:rPr>
  </w:style>
  <w:style w:type="table" w:styleId="2">
    <w:name w:val=""/>
    <w:basedOn w:val="TableNormal"/>
    <w:next w:val="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2"/>
      <w:tblStyleRowBandSize w:val="1"/>
      <w:tblStyleColBandSize w:val="1"/>
      <w:jc w:val="left"/>
      <w:tblCellMar>
        <w:left w:w="115.0" w:type="dxa"/>
        <w:right w:w="115.0" w:type="dxa"/>
      </w:tblCellMar>
    </w:tblPr>
  </w:style>
  <w:style w:type="table" w:styleId="3">
    <w:name w:val=""/>
    <w:basedOn w:val="TableNormal"/>
    <w:next w:val="3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3"/>
      <w:tblStyleRowBandSize w:val="1"/>
      <w:tblStyleColBandSize w:val="1"/>
      <w:jc w:val="left"/>
      <w:tblCellMar>
        <w:left w:w="115.0" w:type="dxa"/>
        <w:right w:w="115.0" w:type="dxa"/>
      </w:tblCellMar>
    </w:tblPr>
  </w:style>
  <w:style w:type="table" w:styleId="4">
    <w:name w:val=""/>
    <w:basedOn w:val="TableNormal"/>
    <w:next w:val="4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4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5">
    <w:name w:val=""/>
    <w:basedOn w:val="TableNormal"/>
    <w:next w:val="5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5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6">
    <w:name w:val=""/>
    <w:basedOn w:val="TableNormal"/>
    <w:next w:val="6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6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7">
    <w:name w:val=""/>
    <w:basedOn w:val="TableNormal"/>
    <w:next w:val="7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7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8">
    <w:name w:val=""/>
    <w:basedOn w:val="TableNormal"/>
    <w:next w:val="8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8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9">
    <w:name w:val=""/>
    <w:basedOn w:val="TableNormal"/>
    <w:next w:val="9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9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10">
    <w:name w:val=""/>
    <w:basedOn w:val="TableNormal"/>
    <w:next w:val="10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10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11">
    <w:name w:val=""/>
    <w:basedOn w:val="TableNormal"/>
    <w:next w:val="1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11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12">
    <w:name w:val=""/>
    <w:basedOn w:val="TableNormal"/>
    <w:next w:val="1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12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13">
    <w:name w:val=""/>
    <w:basedOn w:val="TableNormal"/>
    <w:next w:val="13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13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14">
    <w:name w:val=""/>
    <w:basedOn w:val="TableNormal"/>
    <w:next w:val="14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14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15">
    <w:name w:val=""/>
    <w:basedOn w:val="TableNormal"/>
    <w:next w:val="15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15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16">
    <w:name w:val=""/>
    <w:basedOn w:val="TableNormal"/>
    <w:next w:val="16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16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17">
    <w:name w:val=""/>
    <w:basedOn w:val="TableNormal"/>
    <w:next w:val="17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17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18">
    <w:name w:val=""/>
    <w:basedOn w:val="TableNormal"/>
    <w:next w:val="18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18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19">
    <w:name w:val=""/>
    <w:basedOn w:val="TableNormal"/>
    <w:next w:val="19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19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20">
    <w:name w:val=""/>
    <w:basedOn w:val="TableNormal"/>
    <w:next w:val="20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20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21">
    <w:name w:val=""/>
    <w:basedOn w:val="TableNormal"/>
    <w:next w:val="2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21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22">
    <w:name w:val=""/>
    <w:basedOn w:val="TableNormal"/>
    <w:next w:val="2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22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23">
    <w:name w:val=""/>
    <w:basedOn w:val="TableNormal"/>
    <w:next w:val="23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23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24">
    <w:name w:val=""/>
    <w:basedOn w:val="TableNormal"/>
    <w:next w:val="24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24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25">
    <w:name w:val=""/>
    <w:basedOn w:val="TableNormal"/>
    <w:next w:val="25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25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26">
    <w:name w:val=""/>
    <w:basedOn w:val="TableNormal"/>
    <w:next w:val="26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26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27">
    <w:name w:val=""/>
    <w:basedOn w:val="TableNormal"/>
    <w:next w:val="27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27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28">
    <w:name w:val=""/>
    <w:basedOn w:val="TableNormal"/>
    <w:next w:val="28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28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29">
    <w:name w:val=""/>
    <w:basedOn w:val="TableNormal"/>
    <w:next w:val="29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29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30">
    <w:name w:val=""/>
    <w:basedOn w:val="TableNormal"/>
    <w:next w:val="30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30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31">
    <w:name w:val=""/>
    <w:basedOn w:val="TableNormal"/>
    <w:next w:val="3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31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32">
    <w:name w:val=""/>
    <w:basedOn w:val="TableNormal"/>
    <w:next w:val="3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32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33">
    <w:name w:val=""/>
    <w:basedOn w:val="TableNormal"/>
    <w:next w:val="33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33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34">
    <w:name w:val=""/>
    <w:basedOn w:val="TableNormal1"/>
    <w:next w:val="34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34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35">
    <w:name w:val=""/>
    <w:basedOn w:val="TableNormal1"/>
    <w:next w:val="35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35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36">
    <w:name w:val=""/>
    <w:basedOn w:val="TableNormal1"/>
    <w:next w:val="36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36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37">
    <w:name w:val=""/>
    <w:basedOn w:val="TableNormal1"/>
    <w:next w:val="37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37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38">
    <w:name w:val=""/>
    <w:basedOn w:val="TableNormal1"/>
    <w:next w:val="38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38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39">
    <w:name w:val=""/>
    <w:basedOn w:val="TableNormal1"/>
    <w:next w:val="39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39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40">
    <w:name w:val=""/>
    <w:basedOn w:val="TableNormal1"/>
    <w:next w:val="40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40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41">
    <w:name w:val=""/>
    <w:basedOn w:val="TableNormal1"/>
    <w:next w:val="4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41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42">
    <w:name w:val=""/>
    <w:basedOn w:val="TableNormal1"/>
    <w:next w:val="4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42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43">
    <w:name w:val=""/>
    <w:basedOn w:val="TableNormal1"/>
    <w:next w:val="43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43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44">
    <w:name w:val=""/>
    <w:basedOn w:val="TableNormal1"/>
    <w:next w:val="44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44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45">
    <w:name w:val=""/>
    <w:basedOn w:val="TableNormal1"/>
    <w:next w:val="45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45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46">
    <w:name w:val=""/>
    <w:basedOn w:val="TableNormal1"/>
    <w:next w:val="46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46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47">
    <w:name w:val=""/>
    <w:basedOn w:val="TableNormal1"/>
    <w:next w:val="47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47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48">
    <w:name w:val=""/>
    <w:basedOn w:val="TableNormal1"/>
    <w:next w:val="48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48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table" w:styleId="">
    <w:name w:val=""/>
    <w:basedOn w:val="TableNormal1"/>
    <w:next w:val="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  <w:tblPr>
      <w:tblStyle w:val=""/>
      <w:tblStyleRowBandSize w:val="1"/>
      <w:tblStyleColBandSize w:val="1"/>
      <w:jc w:val="left"/>
      <w:tblCellMar>
        <w:left w:w="7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Tahoma-regular.ttf"/><Relationship Id="rId4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jhkJM8aEInv8Ymd94IMg63xNBw==">AMUW2mVgo4jY9LB3g2sH3p1eBu4CIvUuWmOVIKFV7FxgIKc0zcEfb2st10yc5ntoxPPDM3vbbQ6PRrJWctrNdSdCzuUcz9qx8x8+AaSbjz2d01D7wO7+ik06AhaMfQpwMgq8/NxZ7oWp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2021-11-12T07:47:00Z</dcterms:created>
  <dc:creator>Ufficio Accreditamento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str>Documento</vt:lpstr>
  </property>
</Properties>
</file>