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u w:val="single"/>
        </w:rPr>
      </w:pPr>
      <w:bookmarkStart w:colFirst="0" w:colLast="0" w:name="_heading=h.gjdgxs" w:id="0"/>
      <w:bookmarkEnd w:id="0"/>
      <w:r w:rsidDel="00000000" w:rsidR="00000000" w:rsidRPr="00000000">
        <w:rPr>
          <w:rFonts w:ascii="Times New Roman" w:cs="Times New Roman" w:eastAsia="Times New Roman" w:hAnsi="Times New Roman"/>
          <w:u w:val="single"/>
          <w:rtl w:val="0"/>
        </w:rPr>
        <w:t xml:space="preserve">MODULO PER GLI ALTRI SOGGETTI DI ENTI E PERSONE GIURIDICHE</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000000" w:rsidDel="00000000" w:rsidP="00000000" w:rsidRDefault="00000000" w:rsidRPr="00000000" w14:paraId="0000000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hanging="142"/>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ind w:hanging="14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DICHIARAZIONE SOSTITUTIVA DELL’ATTO DI NOTORIETÁ</w:t>
      </w:r>
    </w:p>
    <w:p w:rsidR="00000000" w:rsidDel="00000000" w:rsidP="00000000" w:rsidRDefault="00000000" w:rsidRPr="00000000" w14:paraId="0000000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(rilasciata ai sensi degli artt. 47 e 48 del D.P.R. n. 445 del 28/12/2000)</w:t>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i w:val="1"/>
          <w:rtl w:val="0"/>
        </w:rPr>
        <w:t xml:space="preserve">ad eccezione del legale rappresentante dell’ente e dell’eventuale </w:t>
      </w:r>
      <w:r w:rsidDel="00000000" w:rsidR="00000000" w:rsidRPr="00000000">
        <w:rPr>
          <w:i w:val="1"/>
          <w:rtl w:val="0"/>
        </w:rPr>
        <w:t xml:space="preserve"> </w:t>
      </w:r>
      <w:r w:rsidDel="00000000" w:rsidR="00000000" w:rsidRPr="00000000">
        <w:rPr>
          <w:rFonts w:ascii="Times New Roman" w:cs="Times New Roman" w:eastAsia="Times New Roman" w:hAnsi="Times New Roman"/>
          <w:i w:val="1"/>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tbl>
      <w:tblPr>
        <w:tblStyle w:val="Table1"/>
        <w:tblW w:w="9520.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8"/>
        <w:gridCol w:w="1915"/>
        <w:gridCol w:w="1922"/>
        <w:gridCol w:w="1936"/>
        <w:gridCol w:w="1919"/>
        <w:tblGridChange w:id="0">
          <w:tblGrid>
            <w:gridCol w:w="1828"/>
            <w:gridCol w:w="1915"/>
            <w:gridCol w:w="1922"/>
            <w:gridCol w:w="1936"/>
            <w:gridCol w:w="1919"/>
          </w:tblGrid>
        </w:tblGridChange>
      </w:tblGrid>
      <w:tr>
        <w:trPr>
          <w:cantSplit w:val="0"/>
          <w:trHeight w:val="640" w:hRule="atLeast"/>
          <w:tblHeader w:val="0"/>
        </w:trPr>
        <w:tc>
          <w:tcPr>
            <w:shd w:fill="auto" w:val="clear"/>
            <w:vAlign w:val="center"/>
          </w:tcPr>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COGNOME E NOME (</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w:t>
            </w:r>
          </w:p>
        </w:tc>
        <w:tc>
          <w:tcPr>
            <w:shd w:fill="auto" w:val="clear"/>
            <w:vAlign w:val="center"/>
          </w:tcPr>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CARICA</w:t>
            </w:r>
          </w:p>
        </w:tc>
        <w:tc>
          <w:tcPr>
            <w:shd w:fill="auto" w:val="clear"/>
            <w:vAlign w:val="center"/>
          </w:tcPr>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DI NASCITA</w:t>
            </w:r>
          </w:p>
        </w:tc>
        <w:tc>
          <w:tcPr>
            <w:shd w:fill="auto" w:val="clear"/>
            <w:vAlign w:val="center"/>
          </w:tcPr>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RESIDENZA</w:t>
            </w:r>
          </w:p>
        </w:tc>
        <w:tc>
          <w:tcPr>
            <w:shd w:fill="auto" w:val="clear"/>
            <w:vAlign w:val="center"/>
          </w:tcPr>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CODICE FISCALE</w:t>
            </w:r>
          </w:p>
        </w:tc>
      </w:tr>
      <w:tr>
        <w:trPr>
          <w:cantSplit w:val="0"/>
          <w:tblHeader w:val="0"/>
        </w:trPr>
        <w:tc>
          <w:tcPr>
            <w:shd w:fill="auto" w:val="clear"/>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2"/>
        </w:numPr>
        <w:ind w:left="709" w:hanging="360"/>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un tempo superiore ad anni due di reclusione, sola o congiunta a pena pecuniaria, con effetti fino alla riabilitazione;</w:t>
      </w:r>
    </w:p>
    <w:p w:rsidR="00000000" w:rsidDel="00000000" w:rsidP="00000000" w:rsidRDefault="00000000" w:rsidRPr="00000000" w14:paraId="00000032">
      <w:pPr>
        <w:numPr>
          <w:ilvl w:val="0"/>
          <w:numId w:val="2"/>
        </w:numPr>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33">
      <w:pPr>
        <w:ind w:left="10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 inoltre:</w:t>
      </w:r>
    </w:p>
    <w:p w:rsidR="00000000" w:rsidDel="00000000" w:rsidP="00000000" w:rsidRDefault="00000000" w:rsidRPr="00000000" w14:paraId="00000039">
      <w:pPr>
        <w:numPr>
          <w:ilvl w:val="0"/>
          <w:numId w:val="1"/>
        </w:numPr>
        <w:ind w:left="360" w:hanging="360"/>
        <w:jc w:val="both"/>
        <w:rPr/>
      </w:pPr>
      <w:r w:rsidDel="00000000" w:rsidR="00000000" w:rsidRPr="00000000">
        <w:rPr>
          <w:rFonts w:ascii="Times New Roman" w:cs="Times New Roman" w:eastAsia="Times New Roman" w:hAnsi="Times New Roman"/>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r w:rsidDel="00000000" w:rsidR="00000000" w:rsidRPr="00000000">
        <w:rPr>
          <w:rtl w:val="0"/>
        </w:rPr>
      </w:r>
    </w:p>
    <w:p w:rsidR="00000000" w:rsidDel="00000000" w:rsidP="00000000" w:rsidRDefault="00000000" w:rsidRPr="00000000" w14:paraId="0000003A">
      <w:pPr>
        <w:numPr>
          <w:ilvl w:val="0"/>
          <w:numId w:val="1"/>
        </w:numPr>
        <w:ind w:left="360" w:hanging="360"/>
        <w:jc w:val="both"/>
        <w:rPr/>
      </w:pPr>
      <w:r w:rsidDel="00000000" w:rsidR="00000000" w:rsidRPr="00000000">
        <w:rPr>
          <w:rFonts w:ascii="Times New Roman" w:cs="Times New Roman" w:eastAsia="Times New Roman" w:hAnsi="Times New Roman"/>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__________________________</w:t>
        <w:tab/>
        <w:tab/>
        <w:tab/>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 xml:space="preserve">         Firmato digitalmente</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            </w:t>
        <w:tab/>
        <w:tab/>
        <w:t xml:space="preserve">       ________________________________</w:t>
      </w:r>
    </w:p>
    <w:p w:rsidR="00000000" w:rsidDel="00000000" w:rsidP="00000000" w:rsidRDefault="00000000" w:rsidRPr="00000000" w14:paraId="000000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ab/>
        <w:tab/>
        <w:tab/>
        <w:tab/>
        <w:tab/>
        <w:tab/>
        <w:tab/>
        <w:t xml:space="preserve">       (indicare nome e cognome del firmatario)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Informativa del Titolare sul trattamento dei dati personali delle persone fisiche</w:t>
      </w:r>
    </w:p>
    <w:p w:rsidR="00000000" w:rsidDel="00000000" w:rsidP="00000000" w:rsidRDefault="00000000" w:rsidRPr="00000000" w14:paraId="0000004F">
      <w:pPr>
        <w:spacing w:after="160" w:line="259" w:lineRule="auto"/>
        <w:jc w:val="center"/>
        <w:rPr>
          <w:rFonts w:ascii="Times New Roman" w:cs="Times New Roman" w:eastAsia="Times New Roman" w:hAnsi="Times New Roman"/>
          <w:b w:val="1"/>
          <w:i w:val="1"/>
          <w:sz w:val="22"/>
          <w:szCs w:val="22"/>
          <w:vertAlign w:val="superscript"/>
        </w:rPr>
      </w:pPr>
      <w:r w:rsidDel="00000000" w:rsidR="00000000" w:rsidRPr="00000000">
        <w:rPr>
          <w:rFonts w:ascii="Times New Roman" w:cs="Times New Roman" w:eastAsia="Times New Roman" w:hAnsi="Times New Roman"/>
          <w:b w:val="1"/>
          <w:i w:val="1"/>
          <w:sz w:val="22"/>
          <w:szCs w:val="22"/>
          <w:rtl w:val="0"/>
        </w:rPr>
        <w:t xml:space="preserve">- per il Rappresentante dell’ente e relativo personale tecnico, amministrativo e contabile -</w:t>
      </w:r>
      <w:r w:rsidDel="00000000" w:rsidR="00000000" w:rsidRPr="00000000">
        <w:rPr>
          <w:rtl w:val="0"/>
        </w:rPr>
      </w:r>
    </w:p>
    <w:p w:rsidR="00000000" w:rsidDel="00000000" w:rsidP="00000000" w:rsidRDefault="00000000" w:rsidRPr="00000000" w14:paraId="00000050">
      <w:pPr>
        <w:spacing w:after="160" w:line="36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ex art. 13, Regolamento 2016/679/UE - GDPR</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1">
      <w:pPr>
        <w:spacing w:after="160" w:line="259"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2">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base al Regolamento 2016/679/UE (</w:t>
      </w:r>
      <w:r w:rsidDel="00000000" w:rsidR="00000000" w:rsidRPr="00000000">
        <w:rPr>
          <w:rFonts w:ascii="Times New Roman" w:cs="Times New Roman" w:eastAsia="Times New Roman" w:hAnsi="Times New Roman"/>
          <w:i w:val="1"/>
          <w:sz w:val="22"/>
          <w:szCs w:val="22"/>
          <w:rtl w:val="0"/>
        </w:rPr>
        <w:t xml:space="preserve">General Data Protection Regulation</w:t>
      </w:r>
      <w:r w:rsidDel="00000000" w:rsidR="00000000" w:rsidRPr="00000000">
        <w:rPr>
          <w:rFonts w:ascii="Times New Roman" w:cs="Times New Roman" w:eastAsia="Times New Roman" w:hAnsi="Times New Roman"/>
          <w:sz w:val="22"/>
          <w:szCs w:val="22"/>
          <w:rtl w:val="0"/>
        </w:rPr>
        <w:t xml:space="preserve"> – GDPR) “</w:t>
      </w:r>
      <w:r w:rsidDel="00000000" w:rsidR="00000000" w:rsidRPr="00000000">
        <w:rPr>
          <w:rFonts w:ascii="Times New Roman" w:cs="Times New Roman" w:eastAsia="Times New Roman" w:hAnsi="Times New Roman"/>
          <w:i w:val="1"/>
          <w:sz w:val="22"/>
          <w:szCs w:val="22"/>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3">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54">
      <w:pPr>
        <w:spacing w:after="160" w:line="259"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Il Titolare del trattamento è la Regione del Veneto / Giunta Regionale, con sede a Palazzo Balbi - Dorsoduro, 3901, 30123 – Venezia. Il Delegato al trattamento dei dati che La riguardano, ai sensi della DGR n. 596 del 08.05.2018 pubblicata sul BUR n. 44 del 11.05.2018, è il Direttore della Direzione Lavoro</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con sede in Fondamenta S.Lucia, Cannaregio 23 - 30121 Venezia, e-mail: lavoro@regione.veneto.it; PEC: lavoro@pec.regione.veneto.it</w:t>
      </w:r>
      <w:r w:rsidDel="00000000" w:rsidR="00000000" w:rsidRPr="00000000">
        <w:rPr>
          <w:rtl w:val="0"/>
        </w:rPr>
      </w:r>
    </w:p>
    <w:p w:rsidR="00000000" w:rsidDel="00000000" w:rsidP="00000000" w:rsidRDefault="00000000" w:rsidRPr="00000000" w14:paraId="00000055">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Responsabile della Protezione dei dati / </w:t>
      </w:r>
      <w:r w:rsidDel="00000000" w:rsidR="00000000" w:rsidRPr="00000000">
        <w:rPr>
          <w:rFonts w:ascii="Times New Roman" w:cs="Times New Roman" w:eastAsia="Times New Roman" w:hAnsi="Times New Roman"/>
          <w:i w:val="1"/>
          <w:sz w:val="22"/>
          <w:szCs w:val="22"/>
          <w:rtl w:val="0"/>
        </w:rPr>
        <w:t xml:space="preserve">Data Protection Officer</w:t>
      </w:r>
      <w:r w:rsidDel="00000000" w:rsidR="00000000" w:rsidRPr="00000000">
        <w:rPr>
          <w:rFonts w:ascii="Times New Roman" w:cs="Times New Roman" w:eastAsia="Times New Roman" w:hAnsi="Times New Roman"/>
          <w:sz w:val="22"/>
          <w:szCs w:val="22"/>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sz w:val="22"/>
            <w:szCs w:val="22"/>
            <w:rtl w:val="0"/>
          </w:rPr>
          <w:t xml:space="preserve">dpo@regione.veneto.it</w:t>
        </w:r>
      </w:hyperlink>
      <w:r w:rsidDel="00000000" w:rsidR="00000000" w:rsidRPr="00000000">
        <w:rPr>
          <w:rFonts w:ascii="Times New Roman" w:cs="Times New Roman" w:eastAsia="Times New Roman" w:hAnsi="Times New Roman"/>
          <w:sz w:val="22"/>
          <w:szCs w:val="22"/>
          <w:rtl w:val="0"/>
        </w:rPr>
        <w:t xml:space="preserve">, oppure la PEC </w:t>
      </w:r>
      <w:hyperlink r:id="rId9">
        <w:r w:rsidDel="00000000" w:rsidR="00000000" w:rsidRPr="00000000">
          <w:rPr>
            <w:rFonts w:ascii="Times New Roman" w:cs="Times New Roman" w:eastAsia="Times New Roman" w:hAnsi="Times New Roman"/>
            <w:color w:val="1155cc"/>
            <w:sz w:val="22"/>
            <w:szCs w:val="22"/>
            <w:u w:val="single"/>
            <w:rtl w:val="0"/>
          </w:rPr>
          <w:t xml:space="preserve">dpo@pec.regione.veneto.it</w:t>
        </w:r>
      </w:hyperlink>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6">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dati personali sono raccolti e trattati con l’ausilio di strumenti elettronici e/o con supporti cartacei ad opera di soggetti appositamente incaricati ai sensi dell’art. 29 del Regolamento (UE) 2016/679. </w:t>
      </w:r>
    </w:p>
    <w:p w:rsidR="00000000" w:rsidDel="00000000" w:rsidP="00000000" w:rsidRDefault="00000000" w:rsidRPr="00000000" w14:paraId="00000057">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trattamento risponde alla finalità di espletare tutti gli adempimenti connessi alla realizzazione degli interventi di cui alla Deliberazione di Giunta Regionale n. 828 del 04/07/2023 adottata in esecuzione della Deliberazione di Giunta Regionale n. 1405 del 11/11/2022 che ha approvato il  “Programma regionale triennale di interventi cofinanziati dalla Cassa delle Ammende in favore delle persone in esecuzione penale esterna”.</w:t>
      </w:r>
    </w:p>
    <w:p w:rsidR="00000000" w:rsidDel="00000000" w:rsidP="00000000" w:rsidRDefault="00000000" w:rsidRPr="00000000" w14:paraId="00000058">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L</w:t>
      </w:r>
      <w:r w:rsidDel="00000000" w:rsidR="00000000" w:rsidRPr="00000000">
        <w:rPr>
          <w:rFonts w:ascii="Times New Roman" w:cs="Times New Roman" w:eastAsia="Times New Roman" w:hAnsi="Times New Roman"/>
          <w:sz w:val="22"/>
          <w:szCs w:val="22"/>
          <w:rtl w:val="0"/>
        </w:rPr>
        <w:t xml:space="preserve">a base giuridica del trattamento (ai sensi degli articoli 6 e/o 9 del Regolamento 2016/679/UE) è rappresentata dalle sopra citate DGR n. 1405 del 11/11/2022 e n. 828 del 04/07/2023 adottate a seguito dei seguenti accordi: Accordo tra il Governo, le Regioni e le Province Autonome di Trento e Bolzano e gli Enti locali sul documento recante "Linee di indirizzo per la realizzazione di un sistema integrato di interventi e servizi per il reinserimento socio-lavorativo delle persone sottoposte a provvedimenti dell'Autorità Giudiziaria limitativi o privativi della libertà personale (Rep. Atti n. 62/CU del 28 aprile 2022); Accordo tra la Cassa delle Ammende e Conferenza delle Regioni e delle Province Autonome del 2 dicembre 2021. Si richiama altresì la Convenzione sottoscritta tra Cassa delle Ammende, le competenti articolazioni territoriali del Ministero della Giustizia (PRAP, UIEPE, CGM) e la Regione del Veneto nelle date del 24 e 25 gennaio 2023.</w:t>
      </w:r>
    </w:p>
    <w:p w:rsidR="00000000" w:rsidDel="00000000" w:rsidP="00000000" w:rsidRDefault="00000000" w:rsidRPr="00000000" w14:paraId="00000059">
      <w:pPr>
        <w:spacing w:after="12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dati possono essere trattati anche per consentire l’abilitazione all’applicativo informatico regionale denominato “</w:t>
      </w:r>
      <w:r w:rsidDel="00000000" w:rsidR="00000000" w:rsidRPr="00000000">
        <w:rPr>
          <w:rFonts w:ascii="Times New Roman" w:cs="Times New Roman" w:eastAsia="Times New Roman" w:hAnsi="Times New Roman"/>
          <w:i w:val="1"/>
          <w:sz w:val="22"/>
          <w:szCs w:val="22"/>
          <w:rtl w:val="0"/>
        </w:rPr>
        <w:t xml:space="preserve">A39 – Monitoraggio Allievi Web</w:t>
      </w:r>
      <w:r w:rsidDel="00000000" w:rsidR="00000000" w:rsidRPr="00000000">
        <w:rPr>
          <w:rFonts w:ascii="Times New Roman" w:cs="Times New Roman" w:eastAsia="Times New Roman" w:hAnsi="Times New Roman"/>
          <w:sz w:val="22"/>
          <w:szCs w:val="22"/>
          <w:rtl w:val="0"/>
        </w:rPr>
        <w:t xml:space="preserve">” che consente all’Amministrazione regionale di svolgere le funzioni di monitoraggio, valutazione, sorveglianza e controllo delle attività approvate e finanziate dalla stessa.</w:t>
      </w:r>
    </w:p>
    <w:p w:rsidR="00000000" w:rsidDel="00000000" w:rsidP="00000000" w:rsidRDefault="00000000" w:rsidRPr="00000000" w14:paraId="0000005A">
      <w:pPr>
        <w:spacing w:after="160" w:line="259"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I dati raccolti potranno essere trattati inoltre a fini di archiviazione (protocollo e conservazione documentale) nonché, in forma aggregata, a fini statistici, in conformità all’art. 89 del Regolamento 2016/679/UE – GDPR.</w:t>
      </w:r>
    </w:p>
    <w:p w:rsidR="00000000" w:rsidDel="00000000" w:rsidP="00000000" w:rsidRDefault="00000000" w:rsidRPr="00000000" w14:paraId="0000005B">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I dati personali, trattati da persone autorizzate, non saranno comunicati né diffusi, salvi i casi pre</w:t>
      </w:r>
      <w:r w:rsidDel="00000000" w:rsidR="00000000" w:rsidRPr="00000000">
        <w:rPr>
          <w:rFonts w:ascii="Times New Roman" w:cs="Times New Roman" w:eastAsia="Times New Roman" w:hAnsi="Times New Roman"/>
          <w:sz w:val="22"/>
          <w:szCs w:val="22"/>
          <w:rtl w:val="0"/>
        </w:rPr>
        <w:t xml:space="preserve">visti dalla normativa vigente. La gestione dei dati è informatizzata e manuale.</w:t>
      </w:r>
    </w:p>
    <w:p w:rsidR="00000000" w:rsidDel="00000000" w:rsidP="00000000" w:rsidRDefault="00000000" w:rsidRPr="00000000" w14:paraId="0000005C">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rsidR="00000000" w:rsidDel="00000000" w:rsidP="00000000" w:rsidRDefault="00000000" w:rsidRPr="00000000" w14:paraId="0000005D">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5E">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 diritto di proporre reclamo, ai sensi dell’articolo 77 del Regolamento 2016/679/UE, al Garante per la protezione dei dati personali con sede in Piazza Venezia n. 11, 00187 – ROMA, ovvero ad altra autorità europea di controllo competente. </w:t>
      </w:r>
    </w:p>
    <w:p w:rsidR="00000000" w:rsidDel="00000000" w:rsidP="00000000" w:rsidRDefault="00000000" w:rsidRPr="00000000" w14:paraId="0000005F">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000000" w:rsidDel="00000000" w:rsidP="00000000" w:rsidRDefault="00000000" w:rsidRPr="00000000" w14:paraId="00000060">
      <w:pPr>
        <w:spacing w:after="160" w:line="259"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mancato conferimento dei dati personali non consentirà l’accesso ai suddetti finanziamenti.</w:t>
      </w:r>
    </w:p>
    <w:p w:rsidR="00000000" w:rsidDel="00000000" w:rsidP="00000000" w:rsidRDefault="00000000" w:rsidRPr="00000000" w14:paraId="00000061">
      <w:pPr>
        <w:spacing w:after="160" w:line="25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2">
      <w:pPr>
        <w:spacing w:after="160" w:line="259" w:lineRule="auto"/>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63">
      <w:pPr>
        <w:spacing w:line="259" w:lineRule="auto"/>
        <w:ind w:left="2977"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Dirigente Delegato</w:t>
      </w:r>
    </w:p>
    <w:p w:rsidR="00000000" w:rsidDel="00000000" w:rsidP="00000000" w:rsidRDefault="00000000" w:rsidRPr="00000000" w14:paraId="00000064">
      <w:pPr>
        <w:spacing w:line="259" w:lineRule="auto"/>
        <w:ind w:left="2977"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Direzione Lavoro</w:t>
      </w:r>
    </w:p>
    <w:p w:rsidR="00000000" w:rsidDel="00000000" w:rsidP="00000000" w:rsidRDefault="00000000" w:rsidRPr="00000000" w14:paraId="00000065">
      <w:pPr>
        <w:spacing w:line="259" w:lineRule="auto"/>
        <w:ind w:left="2977"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Dott. Alessandro Agostinetti</w:t>
      </w:r>
    </w:p>
    <w:p w:rsidR="00000000" w:rsidDel="00000000" w:rsidP="00000000" w:rsidRDefault="00000000" w:rsidRPr="00000000" w14:paraId="00000066">
      <w:pPr>
        <w:spacing w:after="120" w:before="120" w:line="259"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7">
      <w:pPr>
        <w:spacing w:after="120" w:before="120" w:lineRule="auto"/>
        <w:ind w:left="2835"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6A">
      <w:pPr>
        <w:ind w:left="2977" w:firstLine="0"/>
        <w:jc w:val="center"/>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6B">
      <w:pPr>
        <w:rPr/>
      </w:pPr>
      <w:bookmarkStart w:colFirst="0" w:colLast="0" w:name="_heading=h.1fob9te" w:id="2"/>
      <w:bookmarkEnd w:id="2"/>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8"/>
          <w:szCs w:val="18"/>
          <w:rtl w:val="0"/>
        </w:rPr>
        <w:t xml:space="preserve">Nell’elenco </w:t>
      </w:r>
      <w:r w:rsidDel="00000000" w:rsidR="00000000" w:rsidRPr="00000000">
        <w:rPr>
          <w:rFonts w:ascii="Times New Roman" w:cs="Times New Roman" w:eastAsia="Times New Roman" w:hAnsi="Times New Roman"/>
          <w:b w:val="1"/>
          <w:color w:val="000000"/>
          <w:sz w:val="18"/>
          <w:szCs w:val="18"/>
          <w:rtl w:val="0"/>
        </w:rPr>
        <w:t xml:space="preserve">non</w:t>
      </w:r>
      <w:r w:rsidDel="00000000" w:rsidR="00000000" w:rsidRPr="00000000">
        <w:rPr>
          <w:rFonts w:ascii="Times New Roman" w:cs="Times New Roman" w:eastAsia="Times New Roman" w:hAnsi="Times New Roman"/>
          <w:color w:val="000000"/>
          <w:sz w:val="18"/>
          <w:szCs w:val="18"/>
          <w:rtl w:val="0"/>
        </w:rPr>
        <w:t xml:space="preserve"> ricomprendere anche il </w:t>
      </w:r>
      <w:r w:rsidDel="00000000" w:rsidR="00000000" w:rsidRPr="00000000">
        <w:rPr>
          <w:rFonts w:ascii="Times New Roman" w:cs="Times New Roman" w:eastAsia="Times New Roman" w:hAnsi="Times New Roman"/>
          <w:sz w:val="18"/>
          <w:szCs w:val="18"/>
          <w:rtl w:val="0"/>
        </w:rPr>
        <w:t xml:space="preserve">legale</w:t>
      </w:r>
      <w:r w:rsidDel="00000000" w:rsidR="00000000" w:rsidRPr="00000000">
        <w:rPr>
          <w:rFonts w:ascii="Times New Roman" w:cs="Times New Roman" w:eastAsia="Times New Roman" w:hAnsi="Times New Roman"/>
          <w:color w:val="000000"/>
          <w:sz w:val="18"/>
          <w:szCs w:val="18"/>
          <w:rtl w:val="0"/>
        </w:rPr>
        <w:t xml:space="preserve"> rappresentante e l’eventuale procuratore dell’ente munito del potere di rappresentanza che sottoscrive la domanda di partecipazione. Per tali soggetti deve essere compilato l’apposito </w:t>
      </w:r>
      <w:r w:rsidDel="00000000" w:rsidR="00000000" w:rsidRPr="00000000">
        <w:rPr>
          <w:rFonts w:ascii="Times New Roman" w:cs="Times New Roman" w:eastAsia="Times New Roman" w:hAnsi="Times New Roman"/>
          <w:b w:val="1"/>
          <w:color w:val="000000"/>
          <w:sz w:val="18"/>
          <w:szCs w:val="18"/>
          <w:rtl w:val="0"/>
        </w:rPr>
        <w:t xml:space="preserve">modulo per il legale rappresentante ed eventuale procuratore.</w:t>
      </w:r>
    </w:p>
  </w:footnote>
  <w:footnote w:id="1">
    <w:p w:rsidR="00000000" w:rsidDel="00000000" w:rsidP="00000000" w:rsidRDefault="00000000" w:rsidRPr="00000000" w14:paraId="0000006D">
      <w:pPr>
        <w:ind w:left="284" w:hanging="284"/>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0"/>
        <w:szCs w:val="20"/>
      </w:rPr>
    </w:pPr>
    <w:r w:rsidDel="00000000" w:rsidR="00000000" w:rsidRPr="00000000">
      <w:rPr>
        <w:rtl w:val="0"/>
      </w:rPr>
    </w:r>
  </w:p>
  <w:tbl>
    <w:tblPr>
      <w:tblStyle w:val="Table2"/>
      <w:tblW w:w="8434.0" w:type="dxa"/>
      <w:jc w:val="left"/>
      <w:tblInd w:w="-70.0" w:type="dxa"/>
      <w:tblLayout w:type="fixed"/>
      <w:tblLook w:val="0000"/>
    </w:tblPr>
    <w:tblGrid>
      <w:gridCol w:w="8434"/>
      <w:tblGridChange w:id="0">
        <w:tblGrid>
          <w:gridCol w:w="8434"/>
        </w:tblGrid>
      </w:tblGridChange>
    </w:tblGrid>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tabs>
              <w:tab w:val="center" w:leader="none" w:pos="4819"/>
              <w:tab w:val="right" w:leader="none" w:pos="9638"/>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Pr>
            <w:drawing>
              <wp:inline distB="0" distT="0" distL="0" distR="0">
                <wp:extent cx="2286000" cy="285750"/>
                <wp:effectExtent b="0" l="0" r="0" t="0"/>
                <wp:docPr descr="barrabw_r" id="7" name="image2.jpg"/>
                <a:graphic>
                  <a:graphicData uri="http://schemas.openxmlformats.org/drawingml/2006/picture">
                    <pic:pic>
                      <pic:nvPicPr>
                        <pic:cNvPr descr="barrabw_r" id="0" name="image2.jpg"/>
                        <pic:cNvPicPr preferRelativeResize="0"/>
                      </pic:nvPicPr>
                      <pic:blipFill>
                        <a:blip r:embed="rId1"/>
                        <a:srcRect b="0" l="0" r="0" t="0"/>
                        <a:stretch>
                          <a:fillRect/>
                        </a:stretch>
                      </pic:blipFill>
                      <pic:spPr>
                        <a:xfrm>
                          <a:off x="0" y="0"/>
                          <a:ext cx="228600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tabs>
              <w:tab w:val="center" w:leader="none" w:pos="4819"/>
              <w:tab w:val="right" w:leader="none" w:pos="9638"/>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16"/>
              <w:szCs w:val="16"/>
              <w:rtl w:val="0"/>
            </w:rPr>
            <w:t xml:space="preserve">                               giunta regionale </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rPr>
          </w:pPr>
          <w:bookmarkStart w:colFirst="0" w:colLast="0" w:name="_heading=h.6pghdfjar498" w:id="3"/>
          <w:bookmarkEnd w:id="3"/>
          <w:r w:rsidDel="00000000" w:rsidR="00000000" w:rsidRPr="00000000">
            <w:rPr>
              <w:rFonts w:ascii="Times New Roman" w:cs="Times New Roman" w:eastAsia="Times New Roman" w:hAnsi="Times New Roman"/>
              <w:b w:val="1"/>
              <w:color w:val="000000"/>
              <w:rtl w:val="0"/>
            </w:rPr>
            <w:t xml:space="preserve">Allegato </w:t>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color w:val="000000"/>
              <w:rtl w:val="0"/>
            </w:rPr>
            <w:t xml:space="preserve">  al </w:t>
          </w:r>
          <w:r w:rsidDel="00000000" w:rsidR="00000000" w:rsidRPr="00000000">
            <w:rPr>
              <w:rFonts w:ascii="Times New Roman" w:cs="Times New Roman" w:eastAsia="Times New Roman" w:hAnsi="Times New Roman"/>
              <w:rtl w:val="0"/>
            </w:rPr>
            <w:t xml:space="preserve">Decreto 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852       del  27 luglio 2023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3"/>
      <w:tblW w:w="9638.0" w:type="dxa"/>
      <w:jc w:val="left"/>
      <w:tblInd w:w="-70.0" w:type="dxa"/>
      <w:tblLayout w:type="fixed"/>
      <w:tblLook w:val="0000"/>
    </w:tblPr>
    <w:tblGrid>
      <w:gridCol w:w="9638"/>
      <w:tblGridChange w:id="0">
        <w:tblGrid>
          <w:gridCol w:w="9638"/>
        </w:tblGrid>
      </w:tblGridChange>
    </w:tblGrid>
    <w:tr>
      <w:trPr>
        <w:cantSplit w:val="0"/>
        <w:trHeight w:val="1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Pr>
            <w:drawing>
              <wp:inline distB="0" distT="0" distL="0" distR="0">
                <wp:extent cx="2311400" cy="29210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11400" cy="2921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Allegato D</w:t>
          </w:r>
          <w:r w:rsidDel="00000000" w:rsidR="00000000" w:rsidRPr="00000000">
            <w:rPr>
              <w:rFonts w:ascii="Times New Roman" w:cs="Times New Roman" w:eastAsia="Times New Roman" w:hAnsi="Times New Roman"/>
              <w:color w:val="000000"/>
              <w:sz w:val="28"/>
              <w:szCs w:val="28"/>
              <w:rtl w:val="0"/>
            </w:rPr>
            <w:t xml:space="preserve">       al Decreto n.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yellow"/>
              <w:rtl w:val="0"/>
            </w:rPr>
            <w:t xml:space="preserve">XX</w:t>
          </w:r>
          <w:r w:rsidDel="00000000" w:rsidR="00000000" w:rsidRPr="00000000">
            <w:rPr>
              <w:rFonts w:ascii="Times New Roman" w:cs="Times New Roman" w:eastAsia="Times New Roman" w:hAnsi="Times New Roman"/>
              <w:sz w:val="28"/>
              <w:szCs w:val="28"/>
              <w:rtl w:val="0"/>
            </w:rPr>
            <w:t xml:space="preserve"> del </w:t>
          </w:r>
          <w:r w:rsidDel="00000000" w:rsidR="00000000" w:rsidRPr="00000000">
            <w:rPr>
              <w:rFonts w:ascii="Times New Roman" w:cs="Times New Roman" w:eastAsia="Times New Roman" w:hAnsi="Times New Roman"/>
              <w:sz w:val="28"/>
              <w:szCs w:val="28"/>
              <w:highlight w:val="yellow"/>
              <w:rtl w:val="0"/>
            </w:rPr>
            <w:t xml:space="preserve">02 novembre 2022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pag. </w:t>
          </w: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w:cs="Noto Sans" w:eastAsia="Noto Sans" w:hAnsi="Noto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w:cs="Noto Sans" w:eastAsia="Noto Sans" w:hAnsi="Noto Sans"/>
      </w:rPr>
    </w:lvl>
    <w:lvl w:ilvl="3">
      <w:start w:val="1"/>
      <w:numFmt w:val="bullet"/>
      <w:lvlText w:val="●"/>
      <w:lvlJc w:val="left"/>
      <w:pPr>
        <w:ind w:left="2520" w:hanging="360"/>
      </w:pPr>
      <w:rPr>
        <w:rFonts w:ascii="Noto Sans" w:cs="Noto Sans" w:eastAsia="Noto Sans" w:hAnsi="Noto San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w:cs="Noto Sans" w:eastAsia="Noto Sans" w:hAnsi="Noto Sans"/>
      </w:rPr>
    </w:lvl>
    <w:lvl w:ilvl="6">
      <w:start w:val="1"/>
      <w:numFmt w:val="bullet"/>
      <w:lvlText w:val="●"/>
      <w:lvlJc w:val="left"/>
      <w:pPr>
        <w:ind w:left="4680" w:hanging="360"/>
      </w:pPr>
      <w:rPr>
        <w:rFonts w:ascii="Noto Sans" w:cs="Noto Sans" w:eastAsia="Noto Sans" w:hAnsi="Noto San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w:cs="Noto Sans" w:eastAsia="Noto Sans" w:hAnsi="Noto Sans"/>
      </w:rPr>
    </w:lvl>
  </w:abstractNum>
  <w:abstractNum w:abstractNumId="2">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ambria" w:cs="Cambria" w:eastAsia="Cambria" w:hAnsi="Cambria"/>
      <w:b w:val="1"/>
      <w:sz w:val="32"/>
      <w:szCs w:val="32"/>
    </w:rPr>
  </w:style>
  <w:style w:type="paragraph" w:styleId="Heading2">
    <w:name w:val="heading 2"/>
    <w:basedOn w:val="Normal"/>
    <w:next w:val="Normal"/>
    <w:pPr>
      <w:keepNext w:val="1"/>
    </w:pPr>
    <w:rPr>
      <w:rFonts w:ascii="Cambria" w:cs="Cambria" w:eastAsia="Cambria" w:hAnsi="Cambria"/>
      <w:b w:val="1"/>
      <w:i w:val="1"/>
      <w:sz w:val="28"/>
      <w:szCs w:val="28"/>
    </w:rPr>
  </w:style>
  <w:style w:type="paragraph" w:styleId="Heading3">
    <w:name w:val="heading 3"/>
    <w:basedOn w:val="Normal"/>
    <w:next w:val="Normal"/>
    <w:pPr>
      <w:keepNext w:val="1"/>
      <w:jc w:val="center"/>
    </w:pPr>
    <w:rPr>
      <w:rFonts w:ascii="Cambria" w:cs="Cambria" w:eastAsia="Cambria" w:hAnsi="Cambria"/>
      <w:b w:val="1"/>
      <w:sz w:val="26"/>
      <w:szCs w:val="26"/>
    </w:rPr>
  </w:style>
  <w:style w:type="paragraph" w:styleId="Heading4">
    <w:name w:val="heading 4"/>
    <w:basedOn w:val="Normal"/>
    <w:next w:val="Normal"/>
    <w:pPr>
      <w:keepNext w:val="1"/>
      <w:jc w:val="both"/>
    </w:pPr>
    <w:rPr>
      <w:rFonts w:ascii="Calibri" w:cs="Calibri" w:eastAsia="Calibri" w:hAnsi="Calibri"/>
      <w:b w:val="1"/>
      <w:sz w:val="28"/>
      <w:szCs w:val="28"/>
    </w:rPr>
  </w:style>
  <w:style w:type="paragraph" w:styleId="Heading5">
    <w:name w:val="heading 5"/>
    <w:basedOn w:val="Normal"/>
    <w:next w:val="Normal"/>
    <w:pPr>
      <w:keepNext w:val="1"/>
      <w:jc w:val="both"/>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outlineLvl w:val="0"/>
    </w:pPr>
    <w:rPr>
      <w:rFonts w:ascii="Cambria" w:cs="Cambria" w:eastAsia="Cambria" w:hAnsi="Cambria"/>
      <w:b w:val="1"/>
      <w:sz w:val="32"/>
      <w:szCs w:val="32"/>
    </w:rPr>
  </w:style>
  <w:style w:type="paragraph" w:styleId="Titolo2">
    <w:name w:val="heading 2"/>
    <w:basedOn w:val="Normale"/>
    <w:next w:val="Normale"/>
    <w:uiPriority w:val="9"/>
    <w:semiHidden w:val="1"/>
    <w:unhideWhenUsed w:val="1"/>
    <w:qFormat w:val="1"/>
    <w:pPr>
      <w:keepNext w:val="1"/>
      <w:outlineLvl w:val="1"/>
    </w:pPr>
    <w:rPr>
      <w:rFonts w:ascii="Cambria" w:cs="Cambria" w:eastAsia="Cambria" w:hAnsi="Cambria"/>
      <w:b w:val="1"/>
      <w:i w:val="1"/>
      <w:sz w:val="28"/>
      <w:szCs w:val="28"/>
    </w:rPr>
  </w:style>
  <w:style w:type="paragraph" w:styleId="Titolo3">
    <w:name w:val="heading 3"/>
    <w:basedOn w:val="Normale"/>
    <w:next w:val="Normale"/>
    <w:uiPriority w:val="9"/>
    <w:semiHidden w:val="1"/>
    <w:unhideWhenUsed w:val="1"/>
    <w:qFormat w:val="1"/>
    <w:pPr>
      <w:keepNext w:val="1"/>
      <w:jc w:val="center"/>
      <w:outlineLvl w:val="2"/>
    </w:pPr>
    <w:rPr>
      <w:rFonts w:ascii="Cambria" w:cs="Cambria" w:eastAsia="Cambria" w:hAnsi="Cambria"/>
      <w:b w:val="1"/>
      <w:sz w:val="26"/>
      <w:szCs w:val="26"/>
    </w:rPr>
  </w:style>
  <w:style w:type="paragraph" w:styleId="Titolo4">
    <w:name w:val="heading 4"/>
    <w:basedOn w:val="Normale"/>
    <w:next w:val="Normale"/>
    <w:uiPriority w:val="9"/>
    <w:semiHidden w:val="1"/>
    <w:unhideWhenUsed w:val="1"/>
    <w:qFormat w:val="1"/>
    <w:pPr>
      <w:keepNext w:val="1"/>
      <w:jc w:val="both"/>
      <w:outlineLvl w:val="3"/>
    </w:pPr>
    <w:rPr>
      <w:rFonts w:ascii="Calibri" w:cs="Calibri" w:eastAsia="Calibri" w:hAnsi="Calibri"/>
      <w:b w:val="1"/>
      <w:sz w:val="28"/>
      <w:szCs w:val="28"/>
    </w:rPr>
  </w:style>
  <w:style w:type="paragraph" w:styleId="Titolo5">
    <w:name w:val="heading 5"/>
    <w:basedOn w:val="Normale"/>
    <w:next w:val="Normale"/>
    <w:uiPriority w:val="9"/>
    <w:semiHidden w:val="1"/>
    <w:unhideWhenUsed w:val="1"/>
    <w:qFormat w:val="1"/>
    <w:pPr>
      <w:keepNext w:val="1"/>
      <w:jc w:val="both"/>
      <w:outlineLvl w:val="4"/>
    </w:pPr>
    <w:rPr>
      <w:rFonts w:ascii="Calibri" w:cs="Calibri" w:eastAsia="Calibri" w:hAnsi="Calibri"/>
      <w:b w:val="1"/>
      <w:i w:val="1"/>
      <w:sz w:val="26"/>
      <w:szCs w:val="26"/>
    </w:rPr>
  </w:style>
  <w:style w:type="paragraph" w:styleId="Titolo6">
    <w:name w:val="heading 6"/>
    <w:basedOn w:val="Normale"/>
    <w:next w:val="Normale"/>
    <w:uiPriority w:val="9"/>
    <w:semiHidden w:val="1"/>
    <w:unhideWhenUsed w:val="1"/>
    <w:qFormat w:val="1"/>
    <w:pPr>
      <w:spacing w:after="60" w:before="240"/>
      <w:outlineLvl w:val="5"/>
    </w:pPr>
    <w:rPr>
      <w:rFonts w:ascii="Calibri" w:cs="Calibri" w:eastAsia="Calibri" w:hAnsi="Calibri"/>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paragraph" w:styleId="Intestazione">
    <w:name w:val="header"/>
    <w:basedOn w:val="Normale"/>
    <w:link w:val="IntestazioneCarattere"/>
    <w:uiPriority w:val="99"/>
    <w:unhideWhenUsed w:val="1"/>
    <w:rsid w:val="00F60954"/>
    <w:pPr>
      <w:tabs>
        <w:tab w:val="center" w:pos="4819"/>
        <w:tab w:val="right" w:pos="9638"/>
      </w:tabs>
    </w:pPr>
  </w:style>
  <w:style w:type="character" w:styleId="IntestazioneCarattere" w:customStyle="1">
    <w:name w:val="Intestazione Carattere"/>
    <w:basedOn w:val="Carpredefinitoparagrafo"/>
    <w:link w:val="Intestazione"/>
    <w:uiPriority w:val="99"/>
    <w:rsid w:val="00F60954"/>
  </w:style>
  <w:style w:type="paragraph" w:styleId="Pidipagina">
    <w:name w:val="footer"/>
    <w:basedOn w:val="Normale"/>
    <w:link w:val="PidipaginaCarattere"/>
    <w:uiPriority w:val="99"/>
    <w:unhideWhenUsed w:val="1"/>
    <w:rsid w:val="00F60954"/>
    <w:pPr>
      <w:tabs>
        <w:tab w:val="center" w:pos="4819"/>
        <w:tab w:val="right" w:pos="9638"/>
      </w:tabs>
    </w:pPr>
  </w:style>
  <w:style w:type="character" w:styleId="PidipaginaCarattere" w:customStyle="1">
    <w:name w:val="Piè di pagina Carattere"/>
    <w:basedOn w:val="Carpredefinitoparagrafo"/>
    <w:link w:val="Pidipagina"/>
    <w:uiPriority w:val="99"/>
    <w:rsid w:val="00F60954"/>
  </w:style>
  <w:style w:type="paragraph" w:styleId="Testofumetto">
    <w:name w:val="Balloon Text"/>
    <w:basedOn w:val="Normale"/>
    <w:link w:val="TestofumettoCarattere"/>
    <w:uiPriority w:val="99"/>
    <w:semiHidden w:val="1"/>
    <w:unhideWhenUsed w:val="1"/>
    <w:rsid w:val="00A348AB"/>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348AB"/>
    <w:rPr>
      <w:rFonts w:ascii="Tahoma" w:cs="Tahoma" w:hAnsi="Tahoma"/>
      <w:sz w:val="16"/>
      <w:szCs w:val="16"/>
    </w:r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paragraph" w:styleId="NormaleWeb">
    <w:name w:val="Normal (Web)"/>
    <w:basedOn w:val="Normale"/>
    <w:uiPriority w:val="99"/>
    <w:semiHidden w:val="1"/>
    <w:unhideWhenUsed w:val="1"/>
    <w:rsid w:val="00760D1F"/>
    <w:pPr>
      <w:spacing w:after="100" w:afterAutospacing="1" w:before="100" w:beforeAutospacing="1"/>
    </w:pPr>
    <w:rPr>
      <w:rFonts w:ascii="Times New Roman" w:cs="Times New Roman" w:eastAsia="Times New Roman" w:hAnsi="Times New Roman"/>
    </w:rPr>
  </w:style>
  <w:style w:type="character" w:styleId="Collegamentoipertestuale">
    <w:name w:val="Hyperlink"/>
    <w:basedOn w:val="Carpredefinitoparagrafo"/>
    <w:uiPriority w:val="99"/>
    <w:semiHidden w:val="1"/>
    <w:unhideWhenUsed w:val="1"/>
    <w:rsid w:val="00760D1F"/>
    <w:rPr>
      <w:color w:val="0000ff"/>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po@pec.regione.veneto.it"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Bi+mPyEYL/goNV2XDvsAKGeag==">CgMxLjAyCGguZ2pkZ3hzMgloLjMwajB6bGwyCWguMWZvYjl0ZTIOaC42cGdoZGZqYXI0OTg4AHIhMTV0QkxKLS1NNGk0WTlPVEpuMFl5QkZpbkZObWthcjZy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2023-07-28T07:14:00Z</dcterms:created>
  <dc:creator>FRANCESCA DE MARCH</dc:creator>
</cp:coreProperties>
</file>